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KOREKTA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Analiza stanu gospodarki odpadami komunalnymi na terenie Miasta i Gminy Chorzele za 2018 rok.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sz w:val="48"/>
          <w:szCs w:val="48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625202" cy="4001039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02" cy="4001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I. Wprowadzenie</w:t>
      </w:r>
      <w:bookmarkStart w:id="0" w:name="_GoBack"/>
      <w:bookmarkEnd w:id="0"/>
    </w:p>
    <w:p w:rsidR="00B80B3C" w:rsidRDefault="00D07BE4" w:rsidP="00D07BE4">
      <w:pPr>
        <w:pStyle w:val="Standard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Podstawa prawna i cel przygotowania </w:t>
      </w:r>
      <w:r>
        <w:rPr>
          <w:rFonts w:ascii="Times New Roman" w:hAnsi="Times New Roman"/>
          <w:b/>
          <w:bCs/>
        </w:rPr>
        <w:t>analizy.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Zgodnie z art. 3 ust. 2 pkt 10 ustawy z dnia 13 września 1996 r. o utrzymaniu czystości i porządku w gminach (tj. Dz. U. z 2018 r. poz. 1454 z późn. zm.) gminy zobowiązane są do wykonywania corocznej analizy stanu gospodarki odpadami komunalnymi,</w:t>
      </w:r>
      <w:r>
        <w:rPr>
          <w:rFonts w:ascii="Times New Roman" w:hAnsi="Times New Roman"/>
        </w:rPr>
        <w:t xml:space="preserve"> w celu weryfikacji możliwości technicznych i organizacyjnych gminy w zakresie gospodarowania odpadami komunalnymi. Analiza ta ma na celu zweryfikowanie możliwości przetwarzania zmieszanych odpadów komunalnych, odpadów zielonych oraz pozostałości z sortowa</w:t>
      </w:r>
      <w:r>
        <w:rPr>
          <w:rFonts w:ascii="Times New Roman" w:hAnsi="Times New Roman"/>
        </w:rPr>
        <w:t>nia i pozostałości z mechaniczno – biologicznego przetwarzania odpadów komunalnych przeznaczonych do składowania, a także potrzeb inwestycyjnych związanych z gospodarowaniem odpadami komunalnymi, kosztów poniesionych w związku z odbieraniem, odzyskiem, rec</w:t>
      </w:r>
      <w:r>
        <w:rPr>
          <w:rFonts w:ascii="Times New Roman" w:hAnsi="Times New Roman"/>
        </w:rPr>
        <w:t>yklingiem i unieszkodliwianiem odpadów komunalnych. Ma ona również dostarczyć informacji dotyczących liczby mieszkańców, liczby właścicieli nieruchomości, którzy nie wykonują obowiązków wynikających z ustawy, ilości odpadów komunalnych wytwarzanych na tere</w:t>
      </w:r>
      <w:r>
        <w:rPr>
          <w:rFonts w:ascii="Times New Roman" w:hAnsi="Times New Roman"/>
        </w:rPr>
        <w:t>nie gminy, a także ilości zmieszanych odpadów komunalnych, odpadów zielonych odbieranych z terenów gminy oraz powstających z przetwarzania odpadów komunalnych pozostałości z sortowania i pozostałości z mechaniczno – biologicznego przetwarzania odpadów komu</w:t>
      </w:r>
      <w:r>
        <w:rPr>
          <w:rFonts w:ascii="Times New Roman" w:hAnsi="Times New Roman"/>
        </w:rPr>
        <w:t>nalnych przeznaczonych do składowania. Poniższa analiza obejmuje okres funkcjonowania systemu gospodarowania odpadami komunalnymi na terenie Miasta i Gminy Chorzele od 1 stycznia 2018 r. do 31 grudnia 2018 r.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System gospodarowania odpadami komunalnymi </w:t>
      </w:r>
      <w:r>
        <w:rPr>
          <w:rFonts w:ascii="Times New Roman" w:hAnsi="Times New Roman"/>
          <w:b/>
          <w:bCs/>
        </w:rPr>
        <w:t>na terenie Miasta i Gminy Chorzele.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:rsidR="00B80B3C" w:rsidRDefault="00D07BE4" w:rsidP="00D07BE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Nieruchomości zamieszkałe przez mieszkańców oraz pozostałe nieruchomości niezamieszkałe, w tym miejsca prowadzenia działalności gospodarczej oraz budynki użyteczności publicznej są zobowiązane do posiadania umowy na odb</w:t>
      </w:r>
      <w:r>
        <w:rPr>
          <w:rFonts w:ascii="Times New Roman" w:hAnsi="Times New Roman"/>
        </w:rPr>
        <w:t>iór odpadów z firmą wpisaną do rejestru działalności regulowanej, prowadzonego przez Burmistrza Miasta i Gminy Chorzele. Odpady komunalne to odpady powstające w gospodarstwach domowych z wyłączeniem pojazdów wycofanych z eksploatacji, a także odpady niezaw</w:t>
      </w:r>
      <w:r>
        <w:rPr>
          <w:rFonts w:ascii="Times New Roman" w:hAnsi="Times New Roman"/>
        </w:rPr>
        <w:t>ierające odpadów niebezpiecznych pochodzące od innych wytwórców odpadów, które ze względu na swój charakter lub skład są podobne do odpadów powstających w gospodarstwach domowych. Przez gospodarowanie odpadami rozumie się zbieranie, transport, przetwarzani</w:t>
      </w:r>
      <w:r>
        <w:rPr>
          <w:rFonts w:ascii="Times New Roman" w:hAnsi="Times New Roman"/>
        </w:rPr>
        <w:t>e odpadów, łącznie z nadzorem nad tego rodzaju działaniami, jak również późniejsze postępowanie z miejscami unieszkodliwiania odpadów oraz działania wykonywane w charakterze sprzedawcy odpadów lub pośrednika w obrocie odpadami. Na terenie Miasta i Gminy Ch</w:t>
      </w:r>
      <w:r>
        <w:rPr>
          <w:rFonts w:ascii="Times New Roman" w:hAnsi="Times New Roman"/>
        </w:rPr>
        <w:t xml:space="preserve">orzele odpady komunalne powstają głównie w gospodarstwach domowych, a także na terenach </w:t>
      </w:r>
      <w:r>
        <w:rPr>
          <w:rFonts w:ascii="Times New Roman" w:hAnsi="Times New Roman"/>
        </w:rPr>
        <w:lastRenderedPageBreak/>
        <w:t>nieruchomości niezamieszkałych (obiekty użyteczności publicznej oraz infrastruktury). Ponadto, odpady powstają także na terenach otwartych (odpady z koszy ulicznych, zm</w:t>
      </w:r>
      <w:r>
        <w:rPr>
          <w:rFonts w:ascii="Times New Roman" w:hAnsi="Times New Roman"/>
        </w:rPr>
        <w:t xml:space="preserve">iotki, odpady z placów targowych i zieleni publicznej).  W wyniku przetargu nieograniczonego w Gminie Chorzele w dniu 29.12.2017 r. został wyłoniony odbiorca odpadów komunalnych od właścicieli nieruchomości zamieszkałych i niezamieszkałych – Błysk-Bis Sp. </w:t>
      </w:r>
      <w:r>
        <w:rPr>
          <w:rFonts w:ascii="Times New Roman" w:hAnsi="Times New Roman"/>
        </w:rPr>
        <w:t>z o.o. ul. Armii Krajowej. Umowa w zakresie odbierania i zagospodarowania odpadów komunalnych obowiązywała od 01.01.2018 r. do 31.12.2018 r. W ramach powyższej umowy nieruchomości zamieszkałe i niezamieszkałe zostały wyposażone w  worki na odpady. Odpady k</w:t>
      </w:r>
      <w:r>
        <w:rPr>
          <w:rFonts w:ascii="Times New Roman" w:hAnsi="Times New Roman"/>
        </w:rPr>
        <w:t>omunalne z terenu Miasta i Gminy Chorzele odbierane są w postaci zmieszanej i selektywnej.</w:t>
      </w:r>
    </w:p>
    <w:p w:rsidR="00B80B3C" w:rsidRDefault="00D07BE4" w:rsidP="00D07BE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Inne wytwarzane na terenie nieruchomości odpady stanowią niesegregowane (zmieszane) odpady komunalne, które właściciel nieruchomości zobowiązany jest gromadzić w prz</w:t>
      </w:r>
      <w:r>
        <w:rPr>
          <w:rFonts w:ascii="Times New Roman" w:hAnsi="Times New Roman"/>
        </w:rPr>
        <w:t xml:space="preserve">eznaczonych do tego celu pojemnikach dostosowanych do systemu odbioru. Odpady zielone, powstające w wyniku pielęgnacji zieleni na terenie nieruchomości zamieszkałych mogą być kompostowane w przydomowych kompostownikach, jeżeli nie powoduje to uciążliwości </w:t>
      </w:r>
      <w:r>
        <w:rPr>
          <w:rFonts w:ascii="Times New Roman" w:hAnsi="Times New Roman"/>
        </w:rPr>
        <w:t>dla użytkowników sąsiednich nieruchomości lub też mogą być oddawane w ramach zamówienia w workach brązowych. Niesegregowane (zmieszane) odpady komunalne powstające na terenie nieruchomości zamieszkałych w Gminie Chorzele gromadzone są w pojemnikach o pojem</w:t>
      </w:r>
      <w:r>
        <w:rPr>
          <w:rFonts w:ascii="Times New Roman" w:hAnsi="Times New Roman"/>
        </w:rPr>
        <w:t>ności do 120 l. Dodatkowo firmy mogą gromadzić odpady w pojemnikach o pojemności 1100 l i powyżej.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  <w:b/>
          <w:bCs/>
          <w:color w:val="000000"/>
        </w:rPr>
      </w:pPr>
    </w:p>
    <w:p w:rsidR="00B80B3C" w:rsidRDefault="00D07BE4" w:rsidP="00D07BE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2.1</w:t>
      </w:r>
      <w:r>
        <w:rPr>
          <w:rFonts w:ascii="Times New Roman" w:hAnsi="Times New Roman"/>
          <w:color w:val="000000"/>
        </w:rPr>
        <w:t>. Ustalono następującą częstotliwość odbioru odpadów komunalnych z terenu nieruchomości:</w:t>
      </w:r>
    </w:p>
    <w:p w:rsidR="00B80B3C" w:rsidRDefault="00D07BE4" w:rsidP="00D07BE4">
      <w:pPr>
        <w:pStyle w:val="Default"/>
        <w:tabs>
          <w:tab w:val="left" w:pos="426"/>
        </w:tabs>
        <w:autoSpaceDE/>
        <w:spacing w:line="360" w:lineRule="auto"/>
      </w:pPr>
      <w:r>
        <w:t>1. odbieranie od właścicieli nieruchomości zamieszkałych:</w:t>
      </w:r>
    </w:p>
    <w:p w:rsidR="00B80B3C" w:rsidRDefault="00D07BE4" w:rsidP="00D07BE4">
      <w:pPr>
        <w:pStyle w:val="Default"/>
        <w:numPr>
          <w:ilvl w:val="0"/>
          <w:numId w:val="8"/>
        </w:numPr>
        <w:autoSpaceDE/>
        <w:spacing w:line="360" w:lineRule="auto"/>
      </w:pPr>
      <w:r>
        <w:t>odpadów komunalnych  nie zbieranych i odbieranych w sposób selektywny było prowadzone:</w:t>
      </w:r>
    </w:p>
    <w:p w:rsidR="00B80B3C" w:rsidRDefault="00D07BE4" w:rsidP="00D07BE4">
      <w:pPr>
        <w:pStyle w:val="Default"/>
        <w:tabs>
          <w:tab w:val="left" w:pos="360"/>
          <w:tab w:val="left" w:pos="993"/>
        </w:tabs>
        <w:autoSpaceDE/>
        <w:spacing w:line="360" w:lineRule="auto"/>
        <w:ind w:left="709"/>
      </w:pPr>
      <w:r>
        <w:t>-  w zabudowie jednorodzinnej –  2 razy w miesiącu,</w:t>
      </w:r>
    </w:p>
    <w:p w:rsidR="00B80B3C" w:rsidRDefault="00D07BE4" w:rsidP="00D07BE4">
      <w:pPr>
        <w:pStyle w:val="Default"/>
        <w:tabs>
          <w:tab w:val="left" w:pos="993"/>
        </w:tabs>
        <w:autoSpaceDE/>
        <w:spacing w:line="360" w:lineRule="auto"/>
        <w:ind w:left="709"/>
      </w:pPr>
      <w:r>
        <w:t>-   w zabudowie wielorodzinnej – raz na tydzień,</w:t>
      </w:r>
    </w:p>
    <w:p w:rsidR="00B80B3C" w:rsidRDefault="00D07BE4" w:rsidP="00D07BE4">
      <w:pPr>
        <w:pStyle w:val="Default"/>
        <w:numPr>
          <w:ilvl w:val="0"/>
          <w:numId w:val="8"/>
        </w:numPr>
        <w:autoSpaceDE/>
        <w:spacing w:line="360" w:lineRule="auto"/>
      </w:pPr>
      <w:r>
        <w:t xml:space="preserve">odpadów komunalnych zbieranych i odbieranych w sposób selektywny </w:t>
      </w:r>
      <w:r>
        <w:t>było prowadzone:</w:t>
      </w:r>
    </w:p>
    <w:p w:rsidR="00B80B3C" w:rsidRDefault="00D07BE4" w:rsidP="00D07BE4">
      <w:pPr>
        <w:pStyle w:val="Default"/>
        <w:tabs>
          <w:tab w:val="left" w:pos="360"/>
          <w:tab w:val="left" w:pos="993"/>
          <w:tab w:val="left" w:pos="1134"/>
        </w:tabs>
        <w:autoSpaceDE/>
        <w:spacing w:line="360" w:lineRule="auto"/>
        <w:ind w:left="709"/>
      </w:pPr>
      <w:r>
        <w:t>- w zabudowie jednorodzinnej – raz w miesiącu,</w:t>
      </w:r>
    </w:p>
    <w:p w:rsidR="00B80B3C" w:rsidRDefault="00D07BE4" w:rsidP="00D07BE4">
      <w:pPr>
        <w:pStyle w:val="Default"/>
        <w:tabs>
          <w:tab w:val="left" w:pos="993"/>
          <w:tab w:val="left" w:pos="1134"/>
        </w:tabs>
        <w:autoSpaceDE/>
        <w:spacing w:line="360" w:lineRule="auto"/>
        <w:ind w:left="709"/>
      </w:pPr>
      <w:r>
        <w:t>- w zabudowie wielorodzinnej – raz na tydzień.</w:t>
      </w:r>
    </w:p>
    <w:p w:rsidR="00B80B3C" w:rsidRDefault="00D07BE4" w:rsidP="00D07BE4">
      <w:pPr>
        <w:pStyle w:val="Default"/>
        <w:tabs>
          <w:tab w:val="left" w:pos="852"/>
        </w:tabs>
        <w:autoSpaceDE/>
        <w:spacing w:before="120" w:line="360" w:lineRule="auto"/>
      </w:pPr>
      <w:r>
        <w:t>2. odbieranie od właścicieli nieruchomości niezamieszkałych oraz z terenu nieruchomości, na           których w części zamieszkują mieszkańcy i n</w:t>
      </w:r>
      <w:r>
        <w:t>a których w części nie zamieszkują mieszkańcy:</w:t>
      </w:r>
    </w:p>
    <w:p w:rsidR="00B80B3C" w:rsidRDefault="00D07BE4" w:rsidP="00D07BE4">
      <w:pPr>
        <w:pStyle w:val="Default"/>
        <w:tabs>
          <w:tab w:val="left" w:pos="709"/>
        </w:tabs>
        <w:autoSpaceDE/>
        <w:spacing w:line="360" w:lineRule="auto"/>
        <w:ind w:left="709"/>
      </w:pPr>
      <w:r>
        <w:t>- odpadów komunalnych  nieselektywnych - raz na tydzień,</w:t>
      </w:r>
    </w:p>
    <w:p w:rsidR="00B80B3C" w:rsidRDefault="00D07BE4" w:rsidP="00D07BE4">
      <w:pPr>
        <w:pStyle w:val="Standard"/>
        <w:spacing w:line="360" w:lineRule="auto"/>
        <w:ind w:left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odpadów selektywnych - raz na tydzień.</w:t>
      </w:r>
    </w:p>
    <w:p w:rsidR="00B80B3C" w:rsidRDefault="00D07BE4" w:rsidP="00D07BE4">
      <w:pPr>
        <w:pStyle w:val="Standard"/>
        <w:spacing w:before="12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odbieranie od właścicieli nieruchomości, na których znajdują się domki letniskowe lub innych nieruchomości w</w:t>
      </w:r>
      <w:r>
        <w:rPr>
          <w:rFonts w:ascii="Times New Roman" w:hAnsi="Times New Roman"/>
          <w:color w:val="000000"/>
        </w:rPr>
        <w:t>ykorzystywanych na cele rekreacyjno-wypoczynkowe:</w:t>
      </w:r>
    </w:p>
    <w:p w:rsidR="00B80B3C" w:rsidRDefault="00D07BE4" w:rsidP="00D07BE4">
      <w:pPr>
        <w:pStyle w:val="Standard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odpadów komunalnych nie zbieranych i odbieranych w sposób selektywny – 1 raz w miesiącu,</w:t>
      </w:r>
    </w:p>
    <w:p w:rsidR="00B80B3C" w:rsidRDefault="00D07BE4" w:rsidP="00D07BE4">
      <w:pPr>
        <w:pStyle w:val="Standard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2) odpadów komunalnych zbieranych i odbieranych w sposób selektywny – 1 raz w miesiącu,</w:t>
      </w:r>
    </w:p>
    <w:p w:rsidR="00B80B3C" w:rsidRDefault="00D07BE4" w:rsidP="00D07BE4">
      <w:pPr>
        <w:pStyle w:val="Standard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3) w okresie od kwietnia </w:t>
      </w:r>
      <w:r>
        <w:rPr>
          <w:rFonts w:ascii="Times New Roman" w:hAnsi="Times New Roman"/>
          <w:color w:val="000000"/>
        </w:rPr>
        <w:t>do października odpadów komunalnych nie zbieranych i odbieranych w sposób selektywny – 2 razy w miesiącu</w:t>
      </w:r>
    </w:p>
    <w:p w:rsidR="00B80B3C" w:rsidRDefault="00D07BE4" w:rsidP="00D07BE4">
      <w:pPr>
        <w:pStyle w:val="Standard"/>
        <w:spacing w:before="120" w:line="360" w:lineRule="auto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2.2.</w:t>
      </w:r>
      <w:r>
        <w:rPr>
          <w:rFonts w:ascii="Times New Roman" w:hAnsi="Times New Roman"/>
          <w:color w:val="000000"/>
        </w:rPr>
        <w:t xml:space="preserve"> Wykaz punktów odbioru nieczystości stałych od przedsiębiorstw z terenu Miasta i Gminy Chorzele: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szkoły 8 szt.,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sklepy małe 31 szt.,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sklepy d</w:t>
      </w:r>
      <w:r>
        <w:rPr>
          <w:rFonts w:ascii="Times New Roman" w:hAnsi="Times New Roman"/>
          <w:color w:val="000000"/>
        </w:rPr>
        <w:t>uże 6 szt.,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wspólnoty mieszkaniowe 4 szt.,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działalność społeczno – kulturalna 4 szt.,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mleczarnie 1 szt.,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inna działalność 24 szt.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 terenie Miasta znajduje się 20 koszy ulicznych o pojemności ok. 10 litrów.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  <w:b/>
          <w:bCs/>
          <w:color w:val="000000"/>
        </w:rPr>
      </w:pPr>
    </w:p>
    <w:p w:rsidR="00B80B3C" w:rsidRDefault="00D07BE4" w:rsidP="00D07BE4">
      <w:pPr>
        <w:pStyle w:val="Standard"/>
        <w:numPr>
          <w:ilvl w:val="0"/>
          <w:numId w:val="9"/>
        </w:numPr>
        <w:spacing w:line="360" w:lineRule="auto"/>
        <w:ind w:left="284" w:hanging="284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Możliwości przetwarzania odpadów.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</w:t>
      </w:r>
      <w:r>
        <w:rPr>
          <w:rFonts w:ascii="Times New Roman" w:hAnsi="Times New Roman"/>
          <w:color w:val="000000"/>
        </w:rPr>
        <w:t>ie z Uchwałą Nr 211/12 Sejmiku Województwa Mazowieckiego z dnia 22 października 2012 r. w sprawie uchwalenia Wojewódzkiego Planu Gospodarki Odpadami dla Mazowsza na lata 2012-2017 z uwzględnieniem lat 2018-2023 z załącznikami, gmina Chorzele należy do regi</w:t>
      </w:r>
      <w:r>
        <w:rPr>
          <w:rFonts w:ascii="Times New Roman" w:hAnsi="Times New Roman"/>
          <w:color w:val="000000"/>
        </w:rPr>
        <w:t>onu Ciechanowskiego dla którego przewidziano regionalne instalacje do przetwarzania odpadów komunalnych (tzw. RIPOK-i) oraz instalacje zastępcze do czasu uruchomienia regionalnych instalacji do przetwarzania odpadów komunalnych.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  <w:color w:val="000000"/>
        </w:rPr>
      </w:pP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Potrzeby inwestycyjne z</w:t>
      </w:r>
      <w:r>
        <w:rPr>
          <w:rFonts w:ascii="Times New Roman" w:hAnsi="Times New Roman"/>
          <w:b/>
          <w:bCs/>
        </w:rPr>
        <w:t>wiązane z gospodarowaniem odpadami komunalnymi.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latach poprzednich rozpoczęto procedurę związaną z budową Punktu Selektywnego Zbierania Odpadów Komunalnych w miejscowości Chorzele, polegającą na opracowaniu studium wykonalności za kwotę  9.000,00 zł ora</w:t>
      </w:r>
      <w:r>
        <w:rPr>
          <w:rFonts w:ascii="Times New Roman" w:hAnsi="Times New Roman"/>
        </w:rPr>
        <w:t>z opracowaniu programu funkcjonalno – użytkowego dla inwestycji prowadzonej metodą ,, Zaprojektuj-Wybuduj’’ za kwotę  6.700,00 zł. W 2018 roku zawarto umowę na wykonanie kompletnej dokumentacji projektowo-kosztorysowej  na budowę PSZOK wraz z uzyskaniem pr</w:t>
      </w:r>
      <w:r>
        <w:rPr>
          <w:rFonts w:ascii="Times New Roman" w:hAnsi="Times New Roman"/>
        </w:rPr>
        <w:t xml:space="preserve">awomocnego pozwolenia na budowę oraz pełnieniem nadzoru autorskiego za kwotę 44.798,42 zł z terminem wykonania w 2019 roku. </w:t>
      </w:r>
    </w:p>
    <w:p w:rsidR="00B80B3C" w:rsidRDefault="00B80B3C" w:rsidP="00D07BE4">
      <w:pPr>
        <w:pStyle w:val="Standard"/>
        <w:spacing w:line="360" w:lineRule="auto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</w:rPr>
        <w:t>5. Koszty poniesione w związku z odbieraniem, odzyskiem, recyklingiem i unieszkodliwianiem odpadów komunalnych.</w:t>
      </w:r>
    </w:p>
    <w:p w:rsidR="00B80B3C" w:rsidRDefault="00D07BE4" w:rsidP="00D07BE4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Roczny koszt </w:t>
      </w:r>
      <w:r>
        <w:rPr>
          <w:rFonts w:ascii="Times New Roman" w:hAnsi="Times New Roman"/>
        </w:rPr>
        <w:t>związany z odbieraniem, odzyskiem, recyklingiem, unieszkodliwianiem odpadów   komunalnych wyniósł 1.191.673,91 zł.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 6</w:t>
      </w:r>
      <w:r>
        <w:rPr>
          <w:rFonts w:ascii="Times New Roman" w:hAnsi="Times New Roman"/>
          <w:b/>
          <w:bCs/>
        </w:rPr>
        <w:t>. Liczba mieszkańców.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liczba mieszkańców wsi: 7.233,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liczba mieszkańców miasta: 2 982.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deklaracji o wysokości opłaty za </w:t>
      </w:r>
      <w:r>
        <w:rPr>
          <w:rFonts w:ascii="Times New Roman" w:hAnsi="Times New Roman"/>
        </w:rPr>
        <w:t>gospodarowanie odpadami komunalnymi na dzień 31.12.2018 r. wynosiła 3 259 ( złożono 454 nowych deklaracji w tym korekty deklaracji).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wysłanych wezwań w sprawie różnicy osób – 88.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osób zgłoszonych w korektach deklaracji o wysokości opłaty za g</w:t>
      </w:r>
      <w:r>
        <w:rPr>
          <w:rFonts w:ascii="Times New Roman" w:hAnsi="Times New Roman"/>
        </w:rPr>
        <w:t>ospodarowanie odpadami komunalnymi – 30.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wysłanych wezwań w przypadku braku deklaracji – 10.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nowych złożonych deklaracji – 30.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Liczba właścicieli nieruchomości, którzy nie zawarli umowy, o której mowa w art.6 ust.1, w imieniu których gmin</w:t>
      </w:r>
      <w:r>
        <w:rPr>
          <w:rFonts w:ascii="Times New Roman" w:hAnsi="Times New Roman"/>
          <w:b/>
          <w:bCs/>
        </w:rPr>
        <w:t>a powinna podjąć działania, o których mowa w art.6 ust.6-12</w:t>
      </w:r>
    </w:p>
    <w:p w:rsidR="00B80B3C" w:rsidRDefault="00D07BE4" w:rsidP="00D07BE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Do systemu gospodarki odpadami funkcjonującego na terenie miasta i gminy Chorzele są włączone nieruchomości zamieszkałe przez mieszkańców, pozostałe nieruchomości niezamieszkałe, w tym miejsca pro</w:t>
      </w:r>
      <w:r>
        <w:rPr>
          <w:rFonts w:ascii="Times New Roman" w:hAnsi="Times New Roman"/>
        </w:rPr>
        <w:t>wadzenia działalności gospodarczej oraz budynki użyteczności publicznej.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Ilości odpadów komunalnych wytwarzanych na terenie Miasta i Gminy Chorzele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Gmina nie dysponuje danymi dotyczącymi ilości wytworzonych odpadów tylko odebranych, dlatego też poniższ</w:t>
      </w:r>
      <w:r>
        <w:rPr>
          <w:rFonts w:ascii="Times New Roman" w:hAnsi="Times New Roman"/>
        </w:rPr>
        <w:t>a tabela przedstawia ilość odpadów komunalnych odebranych z terenu Miasta i Gminy Chorzele w 2018 r. (zarówno bezpośrednio z posesji jak i za pośrednictwem mobilnego PSZOK).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ODEBRANYCH ODPADÓW NA TERENIE MIASTA I GMINY CHORZELE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nieruchomoś</w:t>
      </w:r>
      <w:r>
        <w:rPr>
          <w:rFonts w:ascii="Times New Roman" w:hAnsi="Times New Roman"/>
        </w:rPr>
        <w:t>ci łącznie-ilość odpadów odebranych z posesji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5529"/>
        <w:gridCol w:w="2398"/>
      </w:tblGrid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Kod Odpadów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Odpadów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Masa odpadów (Mg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15 01 06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430,560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20 01 32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Leki inne niż wymienione w 20 01 31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0,060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20 02 01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11,800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03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 odpady nieulegające biodegradacji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78,980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20 03 01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1 800,940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20 03 07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wielkogabarytowe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44,600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17 01 07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Zmieszane odpady z betonu, gruzu ceglanego, odpadowych materiałów ceramicznych i </w:t>
            </w:r>
            <w:r>
              <w:rPr>
                <w:rFonts w:ascii="Times New Roman" w:hAnsi="Times New Roman"/>
                <w:sz w:val="20"/>
                <w:szCs w:val="20"/>
              </w:rPr>
              <w:t>elementów wyposażenia inne niż wymienione w 17 01 06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4,880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20 01 36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Zużyte urządzenia elektryczne i elektroniczne inne niż wymienione w  20 01 21, 20 01 23, 20 01 35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5,940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2 377,760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Łączna masa odebranych odpadów komunalnych z </w:t>
            </w:r>
            <w:r>
              <w:rPr>
                <w:rFonts w:ascii="Times New Roman" w:hAnsi="Times New Roman"/>
                <w:sz w:val="16"/>
                <w:szCs w:val="16"/>
              </w:rPr>
              <w:t>wyłączeniem odpadów budowlanych i rozbiórkowych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2 372,880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Łączna masa odebranych odpadów budowlanych i rozbiórkowych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4,880</w:t>
            </w:r>
          </w:p>
        </w:tc>
      </w:tr>
    </w:tbl>
    <w:p w:rsidR="00B80B3C" w:rsidRDefault="00D07BE4" w:rsidP="00D07BE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 xml:space="preserve">1  </w:t>
      </w:r>
      <w:r>
        <w:rPr>
          <w:rFonts w:ascii="Times New Roman" w:hAnsi="Times New Roman"/>
          <w:sz w:val="20"/>
          <w:szCs w:val="20"/>
        </w:rPr>
        <w:t xml:space="preserve">1 Mg (megagram) jest równoważny 1 tonie. Megagram jest jednostką przyjętą jako podstawowa w całej sprawozdawczości </w:t>
      </w:r>
      <w:r>
        <w:rPr>
          <w:rFonts w:ascii="Times New Roman" w:hAnsi="Times New Roman"/>
          <w:sz w:val="20"/>
          <w:szCs w:val="20"/>
        </w:rPr>
        <w:t>dotyczącej gospodarowania odpadami.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ODEBRANYCH ODPADÓW -MOBILNY PSZOK DLA  MIASTA I GMINY CHORZELE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5529"/>
        <w:gridCol w:w="2398"/>
      </w:tblGrid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Kod Odpadów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Odpadów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Masa odpadów (Mg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17 01 01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1,080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17 01 07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Zmieszane odpady z </w:t>
            </w:r>
            <w:r>
              <w:rPr>
                <w:rFonts w:ascii="Times New Roman" w:hAnsi="Times New Roman"/>
                <w:sz w:val="18"/>
                <w:szCs w:val="18"/>
              </w:rPr>
              <w:t>betonu, gruzu ceglanego, odpadowych materiałów ceramicznych i elementów wyposażenia inne niż wymienione w 17 01 06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17,780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17 09 04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4,680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20 02 01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ulegające biodegradacji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1,460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20 03 07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wielogabarytowe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7,500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32,500</w:t>
            </w:r>
          </w:p>
        </w:tc>
      </w:tr>
    </w:tbl>
    <w:p w:rsidR="00B80B3C" w:rsidRDefault="00D07BE4" w:rsidP="00D07BE4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 xml:space="preserve">1  </w:t>
      </w:r>
      <w:r>
        <w:rPr>
          <w:rFonts w:ascii="Times New Roman" w:hAnsi="Times New Roman"/>
          <w:sz w:val="20"/>
          <w:szCs w:val="20"/>
        </w:rPr>
        <w:t>1 Mg (megagram) jest równoważny 1 tonie. Megagram jest jednostką przyjętą jako podstawowa w całej sprawozdawczości dotyczącej gospodarowania odpadami.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Poziomy </w:t>
      </w:r>
      <w:r>
        <w:rPr>
          <w:rFonts w:ascii="Times New Roman" w:hAnsi="Times New Roman"/>
          <w:b/>
          <w:bCs/>
        </w:rPr>
        <w:t>recyklingu i przygotowania do ponownego użycia papieru, metali, tworzyw sztucznych i szkła w 2018 r.</w:t>
      </w:r>
      <w:r>
        <w:rPr>
          <w:rFonts w:ascii="Times New Roman" w:hAnsi="Times New Roman"/>
          <w:b/>
          <w:bCs/>
          <w:sz w:val="22"/>
          <w:szCs w:val="22"/>
        </w:rPr>
        <w:t xml:space="preserve"> (%)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80B3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Papier , metal, szkło, tworzywa sztuczne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2018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zgodny z rozporządzeniem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30,00%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osiągnięty przez Gminę Chorzele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0B3C" w:rsidRDefault="00D07BE4" w:rsidP="00D07BE4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30,19%</w:t>
            </w:r>
          </w:p>
        </w:tc>
      </w:tr>
    </w:tbl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9. Ilość </w:t>
      </w:r>
      <w:r>
        <w:rPr>
          <w:rFonts w:ascii="Times New Roman" w:hAnsi="Times New Roman"/>
          <w:b/>
          <w:bCs/>
        </w:rPr>
        <w:t>zmieszanych odpadów komunalnych, odpadów zielonych odbieranych z terenu gminy oraz powstających z przetwarzania odpadów komunalnych pozostałości z sortowania o pozostałości z mechaniczno-biologicznego przetwarzania odpadów  komunalnych przeznaczonych do sk</w:t>
      </w:r>
      <w:r>
        <w:rPr>
          <w:rFonts w:ascii="Times New Roman" w:hAnsi="Times New Roman"/>
          <w:b/>
          <w:bCs/>
        </w:rPr>
        <w:t>ładowania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art.9e ust.1 ustawy z dnia 13 września 1996 r. o utrzymaniu czystości i porządku w gminach (t.j. Dz.U. z 2018 r. poz. 1454 ze zmn.) podmiot odbierający odpady komunalne od właścicieli nieruchomości jest obowiązany do przekazywania odeb</w:t>
      </w:r>
      <w:r>
        <w:rPr>
          <w:rFonts w:ascii="Times New Roman" w:hAnsi="Times New Roman"/>
        </w:rPr>
        <w:t>ranych od właścicieli nieruchomości selektywnie zebranych odpadów komunalnych bezpośrednio lub za pośrednictwem innego  zbierającego odpady do instalacji odzysku lub unieszkodliwiania odpadów, zgodnie z hierarchią sposobów postepowania z odpadami, o której</w:t>
      </w:r>
      <w:r>
        <w:rPr>
          <w:rFonts w:ascii="Times New Roman" w:hAnsi="Times New Roman"/>
        </w:rPr>
        <w:t xml:space="preserve"> mowa w art.17 ustawy z dnia 14 grudnia 2012 r. o odpadach, zmieszanych odpadów komunalnych oraz odpadów zielonych bezpośrednio do regionalnej instalacji do przetwarzania odpadów komunalnych.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zmieszanych odpadów komunalnych w 2018 r. wyniosła 1.800,9</w:t>
      </w:r>
      <w:r>
        <w:rPr>
          <w:rFonts w:ascii="Times New Roman" w:hAnsi="Times New Roman"/>
        </w:rPr>
        <w:t>40 Mg, ilość odpadów zielonych tj. o kodzie 20 02 01 wyniosła 11,800 Mg.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tbl>
      <w:tblPr>
        <w:tblW w:w="9300" w:type="dxa"/>
        <w:tblInd w:w="2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2"/>
        <w:gridCol w:w="4038"/>
        <w:gridCol w:w="3250"/>
      </w:tblGrid>
      <w:tr w:rsidR="00B80B3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B3C" w:rsidRDefault="00D07BE4" w:rsidP="00D07BE4">
            <w:pPr>
              <w:pStyle w:val="Standard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Kod odpadów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B3C" w:rsidRDefault="00D07BE4" w:rsidP="00D07BE4">
            <w:pPr>
              <w:pStyle w:val="Standard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Rodzaj odpadów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B3C" w:rsidRDefault="00D07BE4" w:rsidP="00D07BE4">
            <w:pPr>
              <w:pStyle w:val="Standard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Masa odpadów [Mg]</w:t>
            </w:r>
          </w:p>
        </w:tc>
      </w:tr>
      <w:tr w:rsidR="00B80B3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B3C" w:rsidRDefault="00D07BE4" w:rsidP="00D07BE4">
            <w:pPr>
              <w:pStyle w:val="Standard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19 05 99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B3C" w:rsidRDefault="00D07BE4" w:rsidP="00D07BE4">
            <w:pPr>
              <w:pStyle w:val="Standard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Inne niewymienione odpady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80B3C" w:rsidRDefault="00D07BE4" w:rsidP="00D07BE4">
            <w:pPr>
              <w:pStyle w:val="Standard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170,270</w:t>
            </w:r>
          </w:p>
        </w:tc>
      </w:tr>
    </w:tbl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 Podsumowanie.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Gmina Chorzele we </w:t>
      </w:r>
      <w:r>
        <w:rPr>
          <w:rFonts w:ascii="Times New Roman" w:hAnsi="Times New Roman"/>
        </w:rPr>
        <w:t>właściwy sposób zarządza systemem gospodarowania odpadami komunalnymi, który jest zgodny z ustawą z dnia 13 września 1996 r. o utrzymaniu czystości i porządku w gminach (Dz. U. z 2018. poz. 1454 z późn. zm.)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Działania Gminy prowadzone są na bieżąco, w przy</w:t>
      </w:r>
      <w:r>
        <w:rPr>
          <w:rFonts w:ascii="Times New Roman" w:hAnsi="Times New Roman"/>
        </w:rPr>
        <w:t>padku ujawnienia właścicieli nieruchomości, którzy nie złożyli deklaracji bądź złożyli deklaracje, ale dane w nich zawarte budzą wątpliwości, wzywa się mieszkańców do złożenia wyjaśnień.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Prowadzone są kontrole właściwego segregowania odpadów komunalnych pr</w:t>
      </w:r>
      <w:r>
        <w:rPr>
          <w:rFonts w:ascii="Times New Roman" w:hAnsi="Times New Roman"/>
        </w:rPr>
        <w:t>zez właścicieli nieruchomości zamieszkałych i niezamieszkałych.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Zapewniony jest odbiór ze wszystkich nieruchomości odpadów wielkogabarytowych poprzez mobilny PSZOK, którego częstotliwość jest wystarczająca do obsługi wszystkich mieszkańców Gminy.</w:t>
      </w:r>
    </w:p>
    <w:p w:rsidR="00B80B3C" w:rsidRDefault="00D07BE4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stron</w:t>
      </w:r>
      <w:r>
        <w:rPr>
          <w:rFonts w:ascii="Times New Roman" w:hAnsi="Times New Roman"/>
        </w:rPr>
        <w:t>ie internetowej utworzona została zakładka dotycząca systemu gospodarowania odpadami, aby mieszkańcy mogli na bieżąco śledzić działania gminy w tym zakresie.</w:t>
      </w:r>
    </w:p>
    <w:p w:rsidR="00B80B3C" w:rsidRDefault="00D07BE4" w:rsidP="00D07BE4">
      <w:pPr>
        <w:pStyle w:val="Default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Odnaleźć tam można m.in.:</w:t>
      </w:r>
    </w:p>
    <w:p w:rsidR="00B80B3C" w:rsidRDefault="00D07BE4" w:rsidP="00D07BE4">
      <w:pPr>
        <w:pStyle w:val="Default"/>
        <w:numPr>
          <w:ilvl w:val="0"/>
          <w:numId w:val="10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harmonogramy odbioru odpadów z poszczególnych miejscowości,</w:t>
      </w:r>
    </w:p>
    <w:p w:rsidR="00B80B3C" w:rsidRDefault="00D07BE4" w:rsidP="00D07BE4">
      <w:pPr>
        <w:pStyle w:val="Default"/>
        <w:numPr>
          <w:ilvl w:val="0"/>
          <w:numId w:val="10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druk deklar</w:t>
      </w:r>
      <w:r>
        <w:rPr>
          <w:rFonts w:eastAsia="Times New Roman" w:cs="Times New Roman"/>
        </w:rPr>
        <w:t>acji o wysokości opłaty za gospodarowanie odpadami komunalnymi,</w:t>
      </w:r>
    </w:p>
    <w:p w:rsidR="00B80B3C" w:rsidRDefault="00D07BE4" w:rsidP="00D07BE4">
      <w:pPr>
        <w:pStyle w:val="Default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informacje dotyczące opłat za gospodarowanie odpadami,</w:t>
      </w:r>
    </w:p>
    <w:p w:rsidR="00B80B3C" w:rsidRDefault="00D07BE4" w:rsidP="00D07BE4">
      <w:pPr>
        <w:pStyle w:val="Default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teksty uchwał podjętych przez Radę Miejską w Chorzelach,</w:t>
      </w:r>
    </w:p>
    <w:p w:rsidR="00B80B3C" w:rsidRDefault="00D07BE4" w:rsidP="00D07BE4">
      <w:pPr>
        <w:pStyle w:val="Default"/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inne materiały informacyjne związane z gospodarowaniem odpadami.</w:t>
      </w: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B80B3C" w:rsidRDefault="00B80B3C" w:rsidP="00D07BE4">
      <w:pPr>
        <w:pStyle w:val="Standard"/>
        <w:spacing w:line="360" w:lineRule="auto"/>
        <w:jc w:val="both"/>
        <w:rPr>
          <w:rFonts w:ascii="Times New Roman" w:hAnsi="Times New Roman"/>
        </w:rPr>
      </w:pPr>
    </w:p>
    <w:sectPr w:rsidR="00B80B3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7BE4">
      <w:pPr>
        <w:rPr>
          <w:rFonts w:hint="eastAsia"/>
        </w:rPr>
      </w:pPr>
      <w:r>
        <w:separator/>
      </w:r>
    </w:p>
  </w:endnote>
  <w:endnote w:type="continuationSeparator" w:id="0">
    <w:p w:rsidR="00000000" w:rsidRDefault="00D07B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7BE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D07B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19D"/>
    <w:multiLevelType w:val="multilevel"/>
    <w:tmpl w:val="D4F4464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87E7688"/>
    <w:multiLevelType w:val="multilevel"/>
    <w:tmpl w:val="48741EC2"/>
    <w:styleLink w:val="WW8Num4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C461D69"/>
    <w:multiLevelType w:val="multilevel"/>
    <w:tmpl w:val="02FA8E2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A2ECA"/>
    <w:multiLevelType w:val="multilevel"/>
    <w:tmpl w:val="70A6EDA6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F162D7"/>
    <w:multiLevelType w:val="multilevel"/>
    <w:tmpl w:val="1EFC3208"/>
    <w:styleLink w:val="WW8Num4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95C3A5B"/>
    <w:multiLevelType w:val="multilevel"/>
    <w:tmpl w:val="0A0E087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40276098"/>
    <w:multiLevelType w:val="multilevel"/>
    <w:tmpl w:val="D5CEB8EA"/>
    <w:styleLink w:val="WW8Num4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84C3323"/>
    <w:multiLevelType w:val="multilevel"/>
    <w:tmpl w:val="E1F4D24A"/>
    <w:styleLink w:val="WW8Num4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A9F52C7"/>
    <w:multiLevelType w:val="multilevel"/>
    <w:tmpl w:val="AF1411E0"/>
    <w:styleLink w:val="WW8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61D504D3"/>
    <w:multiLevelType w:val="multilevel"/>
    <w:tmpl w:val="A5A6452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110A1"/>
    <w:multiLevelType w:val="multilevel"/>
    <w:tmpl w:val="4C8E4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80B3C"/>
    <w:rsid w:val="00B80B3C"/>
    <w:rsid w:val="00D0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09D9-23C1-4CD8-ADDF-6BEB7339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Calibri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7z0">
    <w:name w:val="WW8Num27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8z0">
    <w:name w:val="WW8Num48z0"/>
  </w:style>
  <w:style w:type="character" w:customStyle="1" w:styleId="WW8Num46z0">
    <w:name w:val="WW8Num46z0"/>
  </w:style>
  <w:style w:type="character" w:customStyle="1" w:styleId="WW8Num45z0">
    <w:name w:val="WW8Num45z0"/>
  </w:style>
  <w:style w:type="character" w:customStyle="1" w:styleId="WW8Num47z0">
    <w:name w:val="WW8Num47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7">
    <w:name w:val="WW8Num27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48">
    <w:name w:val="WW8Num48"/>
    <w:basedOn w:val="Bezlisty"/>
    <w:pPr>
      <w:numPr>
        <w:numId w:val="3"/>
      </w:numPr>
    </w:pPr>
  </w:style>
  <w:style w:type="numbering" w:customStyle="1" w:styleId="WW8Num46">
    <w:name w:val="WW8Num46"/>
    <w:basedOn w:val="Bezlisty"/>
    <w:pPr>
      <w:numPr>
        <w:numId w:val="4"/>
      </w:numPr>
    </w:pPr>
  </w:style>
  <w:style w:type="numbering" w:customStyle="1" w:styleId="WW8Num45">
    <w:name w:val="WW8Num45"/>
    <w:basedOn w:val="Bezlisty"/>
    <w:pPr>
      <w:numPr>
        <w:numId w:val="5"/>
      </w:numPr>
    </w:pPr>
  </w:style>
  <w:style w:type="numbering" w:customStyle="1" w:styleId="WW8Num47">
    <w:name w:val="WW8Num47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1918</Words>
  <Characters>11509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Brzezicki</dc:creator>
  <cp:lastModifiedBy>Wojciech Fronczak</cp:lastModifiedBy>
  <cp:revision>2</cp:revision>
  <cp:lastPrinted>2020-02-12T10:49:00Z</cp:lastPrinted>
  <dcterms:created xsi:type="dcterms:W3CDTF">2020-11-30T13:36:00Z</dcterms:created>
  <dcterms:modified xsi:type="dcterms:W3CDTF">2020-11-30T13:36:00Z</dcterms:modified>
</cp:coreProperties>
</file>