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07E" w:rsidRDefault="00FD4C8A" w:rsidP="00290A07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21.12.2021 r.</w:t>
      </w:r>
    </w:p>
    <w:p w:rsidR="00D7407E" w:rsidRDefault="00FD4C8A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WROZ.6220.29.2020.2021.MCH</w:t>
      </w:r>
    </w:p>
    <w:p w:rsidR="00D7407E" w:rsidRDefault="00FD4C8A" w:rsidP="00290A07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D7407E" w:rsidRDefault="00FD4C8A" w:rsidP="00290A07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D7407E" w:rsidRDefault="00D7407E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D7407E" w:rsidRDefault="00FD4C8A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</w:t>
      </w:r>
      <w:r>
        <w:rPr>
          <w:rFonts w:ascii="Tahoma" w:eastAsia="Times New Roman" w:hAnsi="Tahoma" w:cs="Tahoma"/>
        </w:rPr>
        <w:t>ustawy z dnia 14 czerwca 1960 r. – Kodeks postępowania administracyjnego (t. j. Dz. U. z 2021 r., poz. 735 z późn. zm.) oraz na podstawie art. 74 ust. 3 ustawy z dnia 3 października 2008 r. o udostępnianiu informacji o środowisku i jego ochronie, udziale s</w:t>
      </w:r>
      <w:r>
        <w:rPr>
          <w:rFonts w:ascii="Tahoma" w:eastAsia="Times New Roman" w:hAnsi="Tahoma" w:cs="Tahoma"/>
        </w:rPr>
        <w:t>połeczeństwa w ochronie środowiska oraz o ocenach oddziaływania na środowisko (t. j. Dz. U. z 2021 r., poz. 247 z późn. zm.) w związku z art. 49 ustawy z dnia 14 czerwca 1960 r. Kodeksu postępowania administracyjnego (t. j. Dz. U. z 2021 r., poz. 735 z póź</w:t>
      </w:r>
      <w:r>
        <w:rPr>
          <w:rFonts w:ascii="Tahoma" w:eastAsia="Times New Roman" w:hAnsi="Tahoma" w:cs="Tahoma"/>
        </w:rPr>
        <w:t xml:space="preserve">n. zm.) </w:t>
      </w:r>
      <w:bookmarkStart w:id="0" w:name="_GoBack"/>
      <w:r>
        <w:rPr>
          <w:rFonts w:ascii="Tahoma" w:eastAsia="Times New Roman" w:hAnsi="Tahoma" w:cs="Tahoma"/>
        </w:rPr>
        <w:t xml:space="preserve">Burmistrz Miasta i Gminy Chorzele zawiadamia o zgromadzeniu całego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„Budowa do trzech farm fotowoltaicznej o mocy do 1 MW każda,</w:t>
      </w:r>
      <w:r>
        <w:rPr>
          <w:rFonts w:ascii="Tahoma" w:hAnsi="Tahoma" w:cs="Tahoma"/>
          <w:b/>
          <w:bCs/>
        </w:rPr>
        <w:t xml:space="preserve"> wraz z niezbędną infrastrukturą techniczną we wsi Jedlinka, działka nr 1, gmina Chorzele, powiat Przasnysz”.</w:t>
      </w:r>
    </w:p>
    <w:bookmarkEnd w:id="0"/>
    <w:p w:rsidR="00D7407E" w:rsidRDefault="00FD4C8A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</w:t>
      </w:r>
      <w:r>
        <w:rPr>
          <w:rFonts w:ascii="Tahoma" w:eastAsia="Times New Roman" w:hAnsi="Tahoma" w:cs="Tahoma"/>
        </w:rPr>
        <w:t>istracyjnej.</w:t>
      </w:r>
    </w:p>
    <w:p w:rsidR="00D7407E" w:rsidRDefault="00FD4C8A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Jednocześnie informuję, że stronom przed wydaniem decyzji przysługuje prawo zapoznania się z całością zgromadzonej dokumentacji oraz wniesienia uwag co do zebranego materiału dowodowego w siedzibie Urzędu Miasta i Gminy w Chorzelach, Wydziale </w:t>
      </w:r>
      <w:r>
        <w:rPr>
          <w:rFonts w:ascii="Tahoma" w:eastAsia="Times New Roman" w:hAnsi="Tahoma" w:cs="Tahoma"/>
        </w:rPr>
        <w:t>Rozwoju Miasta i Gminy Chorzele, ul. Stanisława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D7407E" w:rsidRDefault="00FD4C8A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Niniejsze obwieszcz</w:t>
      </w:r>
      <w:r>
        <w:rPr>
          <w:rFonts w:ascii="Tahoma" w:eastAsia="Times New Roman" w:hAnsi="Tahoma" w:cs="Tahoma"/>
        </w:rPr>
        <w:t xml:space="preserve">enie zostaje podane do publicznej wiadomości przez zawiadomienie na stronie Biuletynu Informacji Publicznej Urzędu Miasta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</w:t>
      </w:r>
      <w:r>
        <w:rPr>
          <w:rFonts w:ascii="Tahoma" w:eastAsia="Times New Roman" w:hAnsi="Tahoma" w:cs="Tahoma"/>
        </w:rPr>
        <w:t>blicy ogłoszeń sołectwa Jedlinka.</w:t>
      </w:r>
    </w:p>
    <w:p w:rsidR="00D7407E" w:rsidRDefault="00FD4C8A">
      <w:pPr>
        <w:pStyle w:val="Standard"/>
        <w:tabs>
          <w:tab w:val="left" w:pos="6000"/>
        </w:tabs>
        <w:autoSpaceDE w:val="0"/>
        <w:spacing w:line="276" w:lineRule="auto"/>
        <w:ind w:left="5954"/>
        <w:rPr>
          <w:rFonts w:ascii="Tahoma" w:hAnsi="Tahoma" w:cs="Tahoma"/>
        </w:rPr>
      </w:pPr>
      <w:r>
        <w:rPr>
          <w:rFonts w:ascii="Tahoma" w:hAnsi="Tahoma" w:cs="Tahoma"/>
        </w:rPr>
        <w:t>Z upoważnienia</w:t>
      </w:r>
    </w:p>
    <w:p w:rsidR="00D7407E" w:rsidRDefault="00D7407E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D7407E" w:rsidRDefault="00FD4C8A">
      <w:pPr>
        <w:pStyle w:val="Standard"/>
        <w:tabs>
          <w:tab w:val="left" w:pos="6045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Regina Grzelak</w:t>
      </w:r>
    </w:p>
    <w:p w:rsidR="00D7407E" w:rsidRDefault="00FD4C8A">
      <w:pPr>
        <w:pStyle w:val="Standard"/>
        <w:tabs>
          <w:tab w:val="left" w:pos="6045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D7407E" w:rsidRDefault="00FD4C8A">
      <w:pPr>
        <w:pStyle w:val="Standard"/>
        <w:numPr>
          <w:ilvl w:val="0"/>
          <w:numId w:val="12"/>
        </w:numPr>
        <w:tabs>
          <w:tab w:val="left" w:pos="-682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:rsidR="00D7407E" w:rsidRDefault="00FD4C8A">
      <w:pPr>
        <w:pStyle w:val="Standard"/>
        <w:tabs>
          <w:tab w:val="left" w:pos="-345"/>
        </w:tabs>
        <w:autoSpaceDE w:val="0"/>
        <w:spacing w:line="276" w:lineRule="auto"/>
        <w:ind w:left="709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- wywieszenie na tablicy ogłoszeń </w:t>
      </w:r>
      <w:r>
        <w:rPr>
          <w:rFonts w:ascii="Tahoma" w:eastAsia="Times New Roman" w:hAnsi="Tahoma" w:cs="Tahoma"/>
          <w:lang w:eastAsia="ar-SA" w:bidi="ar-SA"/>
        </w:rPr>
        <w:t>sołectwa Jedlinka (za pośrednictwem sołtysa);</w:t>
      </w:r>
    </w:p>
    <w:p w:rsidR="00D7407E" w:rsidRDefault="00FD4C8A">
      <w:pPr>
        <w:pStyle w:val="Standard"/>
        <w:numPr>
          <w:ilvl w:val="0"/>
          <w:numId w:val="12"/>
        </w:numPr>
        <w:tabs>
          <w:tab w:val="left" w:pos="-682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D7407E" w:rsidRDefault="00FD4C8A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D7407E" w:rsidRDefault="00FD4C8A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Inwestor.</w:t>
      </w:r>
    </w:p>
    <w:p w:rsidR="00D7407E" w:rsidRDefault="00FD4C8A">
      <w:pPr>
        <w:numPr>
          <w:ilvl w:val="0"/>
          <w:numId w:val="13"/>
        </w:num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Anna Piórkowska.</w:t>
      </w:r>
    </w:p>
    <w:p w:rsidR="00D7407E" w:rsidRDefault="00FD4C8A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P. Paweł Janusz Piórkowski.</w:t>
      </w:r>
    </w:p>
    <w:sectPr w:rsidR="00D7407E">
      <w:pgSz w:w="11905" w:h="16837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D4C8A">
      <w:r>
        <w:separator/>
      </w:r>
    </w:p>
  </w:endnote>
  <w:endnote w:type="continuationSeparator" w:id="0">
    <w:p w:rsidR="00000000" w:rsidRDefault="00FD4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D4C8A">
      <w:r>
        <w:rPr>
          <w:color w:val="000000"/>
        </w:rPr>
        <w:separator/>
      </w:r>
    </w:p>
  </w:footnote>
  <w:footnote w:type="continuationSeparator" w:id="0">
    <w:p w:rsidR="00000000" w:rsidRDefault="00FD4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7A4F"/>
    <w:multiLevelType w:val="multilevel"/>
    <w:tmpl w:val="D9727832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BBC59E9"/>
    <w:multiLevelType w:val="multilevel"/>
    <w:tmpl w:val="122EDDA6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26B5630"/>
    <w:multiLevelType w:val="multilevel"/>
    <w:tmpl w:val="767031F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8241D4"/>
    <w:multiLevelType w:val="multilevel"/>
    <w:tmpl w:val="2274111A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300A3BAA"/>
    <w:multiLevelType w:val="multilevel"/>
    <w:tmpl w:val="3E2EDABC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B197B8B"/>
    <w:multiLevelType w:val="multilevel"/>
    <w:tmpl w:val="97FAB5DA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4DC7C1B"/>
    <w:multiLevelType w:val="multilevel"/>
    <w:tmpl w:val="B5BEB8F4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D0E5DA0"/>
    <w:multiLevelType w:val="multilevel"/>
    <w:tmpl w:val="392CD1B8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03F3C87"/>
    <w:multiLevelType w:val="multilevel"/>
    <w:tmpl w:val="7F9AAA3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20F2D52"/>
    <w:multiLevelType w:val="multilevel"/>
    <w:tmpl w:val="ABB0EB1E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7028760D"/>
    <w:multiLevelType w:val="multilevel"/>
    <w:tmpl w:val="5A9C6A14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16912E3"/>
    <w:multiLevelType w:val="multilevel"/>
    <w:tmpl w:val="84FC3406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D364CB4"/>
    <w:multiLevelType w:val="multilevel"/>
    <w:tmpl w:val="ACA82B0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0"/>
  </w:num>
  <w:num w:numId="5">
    <w:abstractNumId w:val="11"/>
  </w:num>
  <w:num w:numId="6">
    <w:abstractNumId w:val="3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7407E"/>
    <w:rsid w:val="00290A07"/>
    <w:rsid w:val="00D7407E"/>
    <w:rsid w:val="00FD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F666C4-B217-49A5-BF69-0DC3D2608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2021-04-19T08:48:00Z</cp:lastPrinted>
  <dcterms:created xsi:type="dcterms:W3CDTF">2021-12-23T09:04:00Z</dcterms:created>
  <dcterms:modified xsi:type="dcterms:W3CDTF">2021-12-23T09:04:00Z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