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B653" w14:textId="221C6C54" w:rsidR="00151C19" w:rsidRPr="00151C19" w:rsidRDefault="00151C19" w:rsidP="00151C19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  <w:sz w:val="24"/>
          <w:szCs w:val="24"/>
        </w:rPr>
      </w:pPr>
      <w:r w:rsidRPr="00151C19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Chorzele, dnia  11 sierpnia 2023 roku.</w:t>
      </w:r>
    </w:p>
    <w:p w14:paraId="1F345975" w14:textId="77777777" w:rsidR="00151C19" w:rsidRPr="00151C19" w:rsidRDefault="00151C19" w:rsidP="00151C19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151C19">
        <w:rPr>
          <w:rFonts w:ascii="Tahoma" w:eastAsia="Lucida Sans Unicode" w:hAnsi="Tahoma" w:cs="Tahoma"/>
          <w:kern w:val="1"/>
          <w:sz w:val="24"/>
          <w:szCs w:val="24"/>
        </w:rPr>
        <w:t>WORMG.0002.8.2023.JS</w:t>
      </w:r>
      <w:r w:rsidRPr="00151C19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</w:t>
      </w:r>
    </w:p>
    <w:p w14:paraId="3658A609" w14:textId="77777777" w:rsidR="00151C19" w:rsidRPr="00151C19" w:rsidRDefault="00151C19" w:rsidP="00151C19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151C19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</w:p>
    <w:p w14:paraId="01E67A85" w14:textId="77777777" w:rsidR="00151C19" w:rsidRPr="00151C19" w:rsidRDefault="00151C19" w:rsidP="00151C19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</w:p>
    <w:p w14:paraId="01F6EC3A" w14:textId="77777777" w:rsidR="00151C19" w:rsidRPr="00151C19" w:rsidRDefault="00151C19" w:rsidP="00151C19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151C19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    PAN/PANI</w:t>
      </w:r>
    </w:p>
    <w:p w14:paraId="78D1317B" w14:textId="77777777" w:rsidR="00151C19" w:rsidRPr="00151C19" w:rsidRDefault="00151C19" w:rsidP="00151C19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151C19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</w:t>
      </w:r>
    </w:p>
    <w:p w14:paraId="259CDA4D" w14:textId="77777777" w:rsidR="00151C19" w:rsidRDefault="00151C19" w:rsidP="00151C19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151C19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    </w:t>
      </w: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</w:t>
      </w:r>
    </w:p>
    <w:p w14:paraId="0C64264E" w14:textId="74E6DED6" w:rsidR="00151C19" w:rsidRPr="00151C19" w:rsidRDefault="00151C19" w:rsidP="00151C19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</w:t>
      </w:r>
      <w:r w:rsidRPr="00151C19">
        <w:rPr>
          <w:rFonts w:ascii="Tahoma" w:eastAsia="Times New Roman" w:hAnsi="Tahoma" w:cs="Tahoma"/>
          <w:b/>
          <w:bCs/>
          <w:kern w:val="1"/>
          <w:sz w:val="24"/>
          <w:szCs w:val="24"/>
        </w:rPr>
        <w:t>________________________________</w:t>
      </w:r>
    </w:p>
    <w:p w14:paraId="791E3C73" w14:textId="77777777" w:rsidR="00151C19" w:rsidRPr="00151C19" w:rsidRDefault="00151C19" w:rsidP="00151C19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151C19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________________________________</w:t>
      </w:r>
    </w:p>
    <w:p w14:paraId="1801F7DF" w14:textId="77777777" w:rsidR="00151C19" w:rsidRPr="00151C19" w:rsidRDefault="00151C19" w:rsidP="00151C19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151C19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</w:t>
      </w:r>
    </w:p>
    <w:p w14:paraId="1E8EF5AA" w14:textId="10835F22" w:rsidR="00151C19" w:rsidRPr="00151C19" w:rsidRDefault="00151C19" w:rsidP="00151C19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bookmarkStart w:id="0" w:name="_Hlk36446272"/>
      <w:r w:rsidRPr="00151C19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1 ustawy z dnia 8 marca 1990 r. o samorządzie gminnym (</w:t>
      </w:r>
      <w:proofErr w:type="spellStart"/>
      <w:r w:rsidRPr="00151C19">
        <w:rPr>
          <w:rStyle w:val="FontStyle15"/>
          <w:rFonts w:ascii="Tahoma" w:hAnsi="Tahoma" w:cs="Tahoma"/>
          <w:sz w:val="24"/>
          <w:szCs w:val="24"/>
        </w:rPr>
        <w:t>t.j</w:t>
      </w:r>
      <w:proofErr w:type="spellEnd"/>
      <w:r w:rsidRPr="00151C19">
        <w:rPr>
          <w:rStyle w:val="FontStyle15"/>
          <w:rFonts w:ascii="Tahoma" w:hAnsi="Tahoma" w:cs="Tahoma"/>
          <w:sz w:val="24"/>
          <w:szCs w:val="24"/>
        </w:rPr>
        <w:t>. Dz. U. z 2023 r., poz. 40)</w:t>
      </w:r>
      <w:r w:rsidRPr="00151C19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zwołuję LXVI sesję Rady Miejskiej w Chorzelach w dniu 18 sierpnia 2023 roku o godz. 12:00, która odbędzie się w sali konferencyjnej </w:t>
      </w:r>
      <w:proofErr w:type="spellStart"/>
      <w:r w:rsidRPr="00151C19">
        <w:rPr>
          <w:rFonts w:ascii="Tahoma" w:eastAsia="Times New Roman" w:hAnsi="Tahoma" w:cs="Tahoma"/>
          <w:b/>
          <w:bCs/>
          <w:kern w:val="2"/>
          <w:sz w:val="24"/>
          <w:szCs w:val="24"/>
        </w:rPr>
        <w:t>UMiG</w:t>
      </w:r>
      <w:proofErr w:type="spellEnd"/>
      <w:r w:rsidRPr="00151C19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w Chorzelach, z proponowanym porządkiem obrad:</w:t>
      </w:r>
    </w:p>
    <w:p w14:paraId="6D733174" w14:textId="77777777" w:rsidR="00151C19" w:rsidRPr="00151C19" w:rsidRDefault="00151C19" w:rsidP="00151C19">
      <w:pPr>
        <w:widowControl w:val="0"/>
        <w:tabs>
          <w:tab w:val="left" w:pos="867"/>
        </w:tabs>
        <w:suppressAutoHyphens/>
        <w:autoSpaceDE w:val="0"/>
        <w:autoSpaceDN w:val="0"/>
        <w:spacing w:after="0" w:line="100" w:lineRule="atLeast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773D1FE8" w14:textId="77777777" w:rsidR="00151C19" w:rsidRPr="00151C19" w:rsidRDefault="00151C19" w:rsidP="00151C19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1" w:name="_Hlk507411311"/>
      <w:bookmarkStart w:id="2" w:name="_Hlk525640759"/>
      <w:bookmarkStart w:id="3" w:name="_Hlk530748680"/>
      <w:bookmarkStart w:id="4" w:name="_Hlk533414080"/>
      <w:bookmarkStart w:id="5" w:name="_Hlk481053478"/>
      <w:r w:rsidRPr="00151C19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sesji.</w:t>
      </w:r>
      <w:bookmarkStart w:id="6" w:name="_Hlk517952945"/>
      <w:r w:rsidRPr="00151C19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 xml:space="preserve"> </w:t>
      </w:r>
      <w:r w:rsidRPr="00151C19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Stwierdzenie prawomocności obrad.</w:t>
      </w:r>
    </w:p>
    <w:p w14:paraId="7EFDEF5A" w14:textId="77777777" w:rsidR="00151C19" w:rsidRPr="00151C19" w:rsidRDefault="00151C19" w:rsidP="00151C19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151C19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  <w:bookmarkStart w:id="7" w:name="_Hlk531351776"/>
      <w:r w:rsidRPr="00151C19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</w:p>
    <w:p w14:paraId="6ED45B6F" w14:textId="77777777" w:rsidR="00151C19" w:rsidRPr="00151C19" w:rsidRDefault="00151C19" w:rsidP="00151C19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151C19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Przyjęcie protokołów z LXIV i LXV sesji Rady Miejskiej.</w:t>
      </w:r>
      <w:bookmarkEnd w:id="7"/>
    </w:p>
    <w:p w14:paraId="63C4A862" w14:textId="77777777" w:rsidR="00151C19" w:rsidRPr="00151C19" w:rsidRDefault="00151C19" w:rsidP="00151C19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151C19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Burmistrza Miasta i Gminy z wykonania podjętych uchwał przez Radę Miejską oraz sprawozdanie z pracy Burmistrza w okresie między sesjami.</w:t>
      </w:r>
    </w:p>
    <w:p w14:paraId="0A7CA992" w14:textId="77777777" w:rsidR="00151C19" w:rsidRPr="00151C19" w:rsidRDefault="00151C19" w:rsidP="00151C19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151C19">
        <w:rPr>
          <w:rFonts w:ascii="Tahoma" w:eastAsia="Times New Roman" w:hAnsi="Tahoma" w:cs="Tahoma"/>
          <w:b/>
          <w:kern w:val="3"/>
          <w:sz w:val="24"/>
          <w:szCs w:val="24"/>
          <w:lang w:eastAsia="ja-JP" w:bidi="fa-IR"/>
        </w:rPr>
        <w:t>Podjęcie uchwał w sprawie</w:t>
      </w:r>
      <w:r w:rsidRPr="00151C19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:</w:t>
      </w:r>
    </w:p>
    <w:p w14:paraId="6B820414" w14:textId="77777777" w:rsidR="00151C19" w:rsidRPr="00151C19" w:rsidRDefault="00151C19" w:rsidP="00151C19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151C19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Wieloletniej Prognozy Finansowej na lata 2023-2036,</w:t>
      </w:r>
    </w:p>
    <w:p w14:paraId="75E35C63" w14:textId="77777777" w:rsidR="00151C19" w:rsidRPr="00151C19" w:rsidRDefault="00151C19" w:rsidP="00151C19">
      <w:pPr>
        <w:widowControl w:val="0"/>
        <w:numPr>
          <w:ilvl w:val="0"/>
          <w:numId w:val="4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151C19">
        <w:rPr>
          <w:rFonts w:ascii="Tahoma" w:eastAsia="Times New Roman" w:hAnsi="Tahoma" w:cs="Tahoma"/>
          <w:kern w:val="1"/>
          <w:sz w:val="24"/>
          <w:szCs w:val="24"/>
        </w:rPr>
        <w:t>zmiany uchwały budżetowej na 2023 rok,</w:t>
      </w:r>
    </w:p>
    <w:p w14:paraId="2E5C3C2D" w14:textId="77777777" w:rsidR="00151C19" w:rsidRPr="00151C19" w:rsidRDefault="00151C19" w:rsidP="00151C19">
      <w:pPr>
        <w:widowControl w:val="0"/>
        <w:numPr>
          <w:ilvl w:val="0"/>
          <w:numId w:val="4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151C19">
        <w:rPr>
          <w:rFonts w:ascii="Tahoma" w:eastAsia="Times New Roman" w:hAnsi="Tahoma" w:cs="Tahoma"/>
          <w:kern w:val="1"/>
          <w:sz w:val="24"/>
          <w:szCs w:val="24"/>
        </w:rPr>
        <w:t>nadania nazwy ulicy,</w:t>
      </w:r>
    </w:p>
    <w:p w14:paraId="237D47B7" w14:textId="77777777" w:rsidR="00151C19" w:rsidRPr="00151C19" w:rsidRDefault="00151C19" w:rsidP="00151C19">
      <w:pPr>
        <w:widowControl w:val="0"/>
        <w:numPr>
          <w:ilvl w:val="0"/>
          <w:numId w:val="4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bookmarkStart w:id="8" w:name="_Hlk142570298"/>
      <w:r w:rsidRPr="00151C19">
        <w:rPr>
          <w:rFonts w:ascii="Tahoma" w:eastAsia="Times New Roman" w:hAnsi="Tahoma" w:cs="Tahoma"/>
          <w:kern w:val="1"/>
          <w:sz w:val="24"/>
          <w:szCs w:val="24"/>
        </w:rPr>
        <w:t xml:space="preserve">wyrażenia zgody na obciążenie nieruchomości służebnością </w:t>
      </w:r>
      <w:proofErr w:type="spellStart"/>
      <w:r w:rsidRPr="00151C19">
        <w:rPr>
          <w:rFonts w:ascii="Tahoma" w:eastAsia="Times New Roman" w:hAnsi="Tahoma" w:cs="Tahoma"/>
          <w:kern w:val="1"/>
          <w:sz w:val="24"/>
          <w:szCs w:val="24"/>
        </w:rPr>
        <w:t>przesyłu</w:t>
      </w:r>
      <w:bookmarkEnd w:id="8"/>
      <w:proofErr w:type="spellEnd"/>
      <w:r w:rsidRPr="00151C19">
        <w:rPr>
          <w:rFonts w:ascii="Tahoma" w:eastAsia="Times New Roman" w:hAnsi="Tahoma" w:cs="Tahoma"/>
          <w:kern w:val="1"/>
          <w:sz w:val="24"/>
          <w:szCs w:val="24"/>
        </w:rPr>
        <w:t>,</w:t>
      </w:r>
    </w:p>
    <w:p w14:paraId="18350842" w14:textId="77777777" w:rsidR="00151C19" w:rsidRPr="00151C19" w:rsidRDefault="00151C19" w:rsidP="00151C19">
      <w:pPr>
        <w:widowControl w:val="0"/>
        <w:numPr>
          <w:ilvl w:val="0"/>
          <w:numId w:val="4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151C19">
        <w:rPr>
          <w:rFonts w:ascii="Tahoma" w:eastAsia="Times New Roman" w:hAnsi="Tahoma" w:cs="Tahoma"/>
          <w:kern w:val="1"/>
          <w:sz w:val="24"/>
          <w:szCs w:val="24"/>
        </w:rPr>
        <w:t xml:space="preserve">wyrażenia zgody na obciążenie nieruchomości służebnością </w:t>
      </w:r>
      <w:proofErr w:type="spellStart"/>
      <w:r w:rsidRPr="00151C19">
        <w:rPr>
          <w:rFonts w:ascii="Tahoma" w:eastAsia="Times New Roman" w:hAnsi="Tahoma" w:cs="Tahoma"/>
          <w:kern w:val="1"/>
          <w:sz w:val="24"/>
          <w:szCs w:val="24"/>
        </w:rPr>
        <w:t>przesyłu</w:t>
      </w:r>
      <w:proofErr w:type="spellEnd"/>
      <w:r w:rsidRPr="00151C19">
        <w:rPr>
          <w:rFonts w:ascii="Tahoma" w:eastAsia="Times New Roman" w:hAnsi="Tahoma" w:cs="Tahoma"/>
          <w:kern w:val="1"/>
          <w:sz w:val="24"/>
          <w:szCs w:val="24"/>
        </w:rPr>
        <w:t>,</w:t>
      </w:r>
    </w:p>
    <w:p w14:paraId="458A781C" w14:textId="77777777" w:rsidR="00151C19" w:rsidRPr="00151C19" w:rsidRDefault="00151C19" w:rsidP="00151C19">
      <w:pPr>
        <w:widowControl w:val="0"/>
        <w:numPr>
          <w:ilvl w:val="0"/>
          <w:numId w:val="4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151C19">
        <w:rPr>
          <w:rFonts w:ascii="Tahoma" w:eastAsia="Times New Roman" w:hAnsi="Tahoma" w:cs="Tahoma"/>
          <w:kern w:val="1"/>
          <w:sz w:val="24"/>
          <w:szCs w:val="24"/>
        </w:rPr>
        <w:t xml:space="preserve">wyrażenia zgody na obciążenie nieruchomości służebnością </w:t>
      </w:r>
      <w:proofErr w:type="spellStart"/>
      <w:r w:rsidRPr="00151C19">
        <w:rPr>
          <w:rFonts w:ascii="Tahoma" w:eastAsia="Times New Roman" w:hAnsi="Tahoma" w:cs="Tahoma"/>
          <w:kern w:val="1"/>
          <w:sz w:val="24"/>
          <w:szCs w:val="24"/>
        </w:rPr>
        <w:t>przesyłu</w:t>
      </w:r>
      <w:proofErr w:type="spellEnd"/>
      <w:r w:rsidRPr="00151C19">
        <w:rPr>
          <w:rFonts w:ascii="Tahoma" w:eastAsia="Times New Roman" w:hAnsi="Tahoma" w:cs="Tahoma"/>
          <w:kern w:val="1"/>
          <w:sz w:val="24"/>
          <w:szCs w:val="24"/>
        </w:rPr>
        <w:t>,</w:t>
      </w:r>
    </w:p>
    <w:p w14:paraId="6C2EA37C" w14:textId="77777777" w:rsidR="00151C19" w:rsidRPr="00151C19" w:rsidRDefault="00151C19" w:rsidP="00151C19">
      <w:pPr>
        <w:widowControl w:val="0"/>
        <w:numPr>
          <w:ilvl w:val="0"/>
          <w:numId w:val="4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151C19">
        <w:rPr>
          <w:rFonts w:ascii="Tahoma" w:eastAsia="Times New Roman" w:hAnsi="Tahoma" w:cs="Tahoma"/>
          <w:kern w:val="1"/>
          <w:sz w:val="24"/>
          <w:szCs w:val="24"/>
        </w:rPr>
        <w:t xml:space="preserve">wyrażenia zgody na obciążenie nieruchomości służebnością </w:t>
      </w:r>
      <w:proofErr w:type="spellStart"/>
      <w:r w:rsidRPr="00151C19">
        <w:rPr>
          <w:rFonts w:ascii="Tahoma" w:eastAsia="Times New Roman" w:hAnsi="Tahoma" w:cs="Tahoma"/>
          <w:kern w:val="1"/>
          <w:sz w:val="24"/>
          <w:szCs w:val="24"/>
        </w:rPr>
        <w:t>przesyłu</w:t>
      </w:r>
      <w:proofErr w:type="spellEnd"/>
      <w:r w:rsidRPr="00151C19">
        <w:rPr>
          <w:rFonts w:ascii="Tahoma" w:eastAsia="Times New Roman" w:hAnsi="Tahoma" w:cs="Tahoma"/>
          <w:kern w:val="1"/>
          <w:sz w:val="24"/>
          <w:szCs w:val="24"/>
        </w:rPr>
        <w:t>,</w:t>
      </w:r>
    </w:p>
    <w:p w14:paraId="5442B9AB" w14:textId="77777777" w:rsidR="00151C19" w:rsidRPr="00151C19" w:rsidRDefault="00151C19" w:rsidP="00151C19">
      <w:pPr>
        <w:widowControl w:val="0"/>
        <w:numPr>
          <w:ilvl w:val="0"/>
          <w:numId w:val="4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151C19">
        <w:rPr>
          <w:rFonts w:ascii="Tahoma" w:eastAsia="Times New Roman" w:hAnsi="Tahoma" w:cs="Tahoma"/>
          <w:kern w:val="1"/>
          <w:sz w:val="24"/>
          <w:szCs w:val="24"/>
        </w:rPr>
        <w:t xml:space="preserve">wyrażenia zgody na obciążenie nieruchomości służebnością </w:t>
      </w:r>
      <w:proofErr w:type="spellStart"/>
      <w:r w:rsidRPr="00151C19">
        <w:rPr>
          <w:rFonts w:ascii="Tahoma" w:eastAsia="Times New Roman" w:hAnsi="Tahoma" w:cs="Tahoma"/>
          <w:kern w:val="1"/>
          <w:sz w:val="24"/>
          <w:szCs w:val="24"/>
        </w:rPr>
        <w:t>przesyłu</w:t>
      </w:r>
      <w:proofErr w:type="spellEnd"/>
      <w:r w:rsidRPr="00151C19">
        <w:rPr>
          <w:rFonts w:ascii="Tahoma" w:eastAsia="Times New Roman" w:hAnsi="Tahoma" w:cs="Tahoma"/>
          <w:kern w:val="1"/>
          <w:sz w:val="24"/>
          <w:szCs w:val="24"/>
        </w:rPr>
        <w:t>,</w:t>
      </w:r>
    </w:p>
    <w:p w14:paraId="1ED9A512" w14:textId="77777777" w:rsidR="00151C19" w:rsidRPr="00151C19" w:rsidRDefault="00151C19" w:rsidP="00151C19">
      <w:pPr>
        <w:widowControl w:val="0"/>
        <w:numPr>
          <w:ilvl w:val="0"/>
          <w:numId w:val="4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151C19">
        <w:rPr>
          <w:rFonts w:ascii="Tahoma" w:eastAsia="Times New Roman" w:hAnsi="Tahoma" w:cs="Tahoma"/>
          <w:kern w:val="1"/>
          <w:sz w:val="24"/>
          <w:szCs w:val="24"/>
        </w:rPr>
        <w:t>określenia szczegółowych warunków, form i zakresu udzielania pomocy dzieciom i młodzieży ze szkół, dla których organem prowadzącym jest Gmina Chorzele oraz trybu postępowania w tych sprawach w ramach ,,Lokalnego Programu Wspierania Edukacji Uzdolnionych Dzieci i Młodzieży z terenu Miasta i Gminy Chorzele”,</w:t>
      </w:r>
    </w:p>
    <w:p w14:paraId="1E9E761D" w14:textId="77777777" w:rsidR="00151C19" w:rsidRPr="00151C19" w:rsidRDefault="00151C19" w:rsidP="00151C19">
      <w:pPr>
        <w:widowControl w:val="0"/>
        <w:numPr>
          <w:ilvl w:val="0"/>
          <w:numId w:val="4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151C19">
        <w:rPr>
          <w:rFonts w:ascii="Tahoma" w:eastAsia="Times New Roman" w:hAnsi="Tahoma" w:cs="Tahoma"/>
          <w:kern w:val="1"/>
          <w:sz w:val="24"/>
          <w:szCs w:val="24"/>
        </w:rPr>
        <w:t>zmiany uchwały Nr 314/XLIV/22 Rady Miejskiej w Chorzelach z dnia 25 lutego 2022r.  w sprawie ustalenia wysokości opłat za pobyt dziecka w Żłobku Miejskim w Chorzelach oraz określenia opłaty za wyżywienie i warunków częściowego lub całkowitego zwolnienia z opłat,</w:t>
      </w:r>
    </w:p>
    <w:p w14:paraId="4025F074" w14:textId="77777777" w:rsidR="00151C19" w:rsidRPr="00151C19" w:rsidRDefault="00151C19" w:rsidP="00151C19">
      <w:pPr>
        <w:widowControl w:val="0"/>
        <w:numPr>
          <w:ilvl w:val="0"/>
          <w:numId w:val="4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151C19">
        <w:rPr>
          <w:rFonts w:ascii="Tahoma" w:eastAsia="Times New Roman" w:hAnsi="Tahoma" w:cs="Tahoma"/>
          <w:kern w:val="1"/>
          <w:sz w:val="24"/>
          <w:szCs w:val="24"/>
        </w:rPr>
        <w:t>zmiany uchwały Nr 315/XLIV/22 z dnia 25 lutego 2022r. w sprawie ustalenia wysokości opłat za pobyt dziecka w Klubie Dziecięcym w Chorzelach oraz określenia opłaty za wyżywienie i warunków częściowego lub całkowitego zwolnienia z opłat,</w:t>
      </w:r>
    </w:p>
    <w:p w14:paraId="0A867BA5" w14:textId="77777777" w:rsidR="00151C19" w:rsidRPr="00151C19" w:rsidRDefault="00151C19" w:rsidP="00151C19">
      <w:pPr>
        <w:widowControl w:val="0"/>
        <w:numPr>
          <w:ilvl w:val="0"/>
          <w:numId w:val="4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151C19">
        <w:rPr>
          <w:rFonts w:ascii="Tahoma" w:eastAsia="Times New Roman" w:hAnsi="Tahoma" w:cs="Tahoma"/>
          <w:kern w:val="1"/>
          <w:sz w:val="24"/>
          <w:szCs w:val="24"/>
        </w:rPr>
        <w:t>uchylenia Uchwały Nr 425/LXIV/23 Rady Miejskiej w Chorzelach z dnia 15 czerwca 2023r. w sprawie udzielenia dotacji w 2023r. na prace konserwatorskie, restauratorskie lub roboty budowlane przy zabytkach wpisanych do rejestru zabytków,</w:t>
      </w:r>
    </w:p>
    <w:p w14:paraId="644212D3" w14:textId="77777777" w:rsidR="00151C19" w:rsidRPr="00151C19" w:rsidRDefault="00151C19" w:rsidP="00151C19">
      <w:pPr>
        <w:pStyle w:val="Standard"/>
        <w:numPr>
          <w:ilvl w:val="0"/>
          <w:numId w:val="4"/>
        </w:numPr>
        <w:jc w:val="both"/>
        <w:rPr>
          <w:rFonts w:ascii="Tahoma" w:hAnsi="Tahoma"/>
        </w:rPr>
      </w:pPr>
      <w:r w:rsidRPr="00151C19">
        <w:rPr>
          <w:rFonts w:ascii="Tahoma" w:hAnsi="Tahoma"/>
        </w:rPr>
        <w:t xml:space="preserve">trybu i sposobu powoływania oraz odwoływania członków Zespołu </w:t>
      </w:r>
      <w:r w:rsidRPr="00151C19">
        <w:rPr>
          <w:rFonts w:ascii="Tahoma" w:hAnsi="Tahoma"/>
        </w:rPr>
        <w:lastRenderedPageBreak/>
        <w:t>Interdyscyplinarnego ds. Przeciwdziałania Przemocy Domowej w Chorzelach</w:t>
      </w:r>
      <w:bookmarkStart w:id="9" w:name="_Hlk494351954"/>
      <w:bookmarkEnd w:id="1"/>
      <w:bookmarkEnd w:id="6"/>
      <w:r w:rsidRPr="00151C19">
        <w:rPr>
          <w:rFonts w:ascii="Tahoma" w:hAnsi="Tahoma"/>
        </w:rPr>
        <w:t>.</w:t>
      </w:r>
    </w:p>
    <w:p w14:paraId="55D91718" w14:textId="77777777" w:rsidR="00151C19" w:rsidRPr="00151C19" w:rsidRDefault="00151C19" w:rsidP="00151C19">
      <w:pPr>
        <w:pStyle w:val="Akapitzlist"/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151C19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Zapytania i wolne wnioski.</w:t>
      </w:r>
    </w:p>
    <w:p w14:paraId="0457E9E2" w14:textId="77777777" w:rsidR="00151C19" w:rsidRPr="00151C19" w:rsidRDefault="00151C19" w:rsidP="00151C19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151C19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Zamknięcie obrad</w:t>
      </w:r>
      <w:bookmarkEnd w:id="0"/>
      <w:bookmarkEnd w:id="2"/>
      <w:bookmarkEnd w:id="3"/>
      <w:bookmarkEnd w:id="4"/>
      <w:bookmarkEnd w:id="5"/>
      <w:bookmarkEnd w:id="9"/>
      <w:r w:rsidRPr="00151C19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.</w:t>
      </w:r>
    </w:p>
    <w:p w14:paraId="3252667B" w14:textId="26A5BA2B" w:rsidR="00CF5983" w:rsidRDefault="00CF5983">
      <w:pPr>
        <w:rPr>
          <w:rFonts w:ascii="Tahoma" w:hAnsi="Tahoma" w:cs="Tahoma"/>
        </w:rPr>
      </w:pPr>
    </w:p>
    <w:p w14:paraId="2C0B22FC" w14:textId="77777777" w:rsidR="00151C19" w:rsidRDefault="00151C19">
      <w:pPr>
        <w:rPr>
          <w:rFonts w:ascii="Tahoma" w:hAnsi="Tahoma" w:cs="Tahoma"/>
        </w:rPr>
      </w:pPr>
    </w:p>
    <w:p w14:paraId="35313478" w14:textId="46F98A1F" w:rsidR="00151C19" w:rsidRPr="006746C0" w:rsidRDefault="00151C19" w:rsidP="00151C19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lang w:eastAsia="ar-SA" w:bidi="fa-IR"/>
        </w:rPr>
      </w:pPr>
      <w:r>
        <w:rPr>
          <w:rFonts w:ascii="Tahoma" w:eastAsia="Times New Roman" w:hAnsi="Tahoma" w:cs="Tahoma"/>
          <w:b/>
          <w:bCs/>
          <w:kern w:val="3"/>
          <w:lang w:eastAsia="ar-SA" w:bidi="fa-IR"/>
        </w:rPr>
        <w:t xml:space="preserve">                                                                                   </w:t>
      </w:r>
      <w:r w:rsidRPr="006746C0">
        <w:rPr>
          <w:rFonts w:ascii="Tahoma" w:eastAsia="Times New Roman" w:hAnsi="Tahoma" w:cs="Tahoma"/>
          <w:b/>
          <w:bCs/>
          <w:kern w:val="3"/>
          <w:lang w:eastAsia="ar-SA" w:bidi="fa-IR"/>
        </w:rPr>
        <w:t xml:space="preserve">Przewodniczący Rady Miejskiej                                                                                      </w:t>
      </w:r>
    </w:p>
    <w:p w14:paraId="3BB6A607" w14:textId="77777777" w:rsidR="00151C19" w:rsidRPr="006746C0" w:rsidRDefault="00151C19" w:rsidP="00151C19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lang w:eastAsia="ar-SA" w:bidi="fa-IR"/>
        </w:rPr>
      </w:pPr>
      <w:r w:rsidRPr="006746C0">
        <w:rPr>
          <w:rFonts w:ascii="Tahoma" w:eastAsia="Times New Roman" w:hAnsi="Tahoma" w:cs="Tahoma"/>
          <w:b/>
          <w:bCs/>
          <w:kern w:val="3"/>
          <w:lang w:eastAsia="ar-SA" w:bidi="fa-IR"/>
        </w:rPr>
        <w:t xml:space="preserve">                                                                                                  w Chorzelach</w:t>
      </w:r>
    </w:p>
    <w:p w14:paraId="690C2A7D" w14:textId="77777777" w:rsidR="00151C19" w:rsidRPr="006746C0" w:rsidRDefault="00151C19" w:rsidP="00151C19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lang w:eastAsia="ar-SA" w:bidi="fa-IR"/>
        </w:rPr>
      </w:pPr>
    </w:p>
    <w:p w14:paraId="12C6F659" w14:textId="77777777" w:rsidR="00151C19" w:rsidRPr="006746C0" w:rsidRDefault="00151C19" w:rsidP="00151C19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lang w:eastAsia="ar-SA" w:bidi="fa-IR"/>
        </w:rPr>
      </w:pPr>
      <w:r w:rsidRPr="006746C0">
        <w:rPr>
          <w:rFonts w:ascii="Tahoma" w:eastAsia="Times New Roman" w:hAnsi="Tahoma" w:cs="Tahoma"/>
          <w:b/>
          <w:bCs/>
          <w:kern w:val="3"/>
          <w:lang w:eastAsia="ar-SA" w:bidi="fa-IR"/>
        </w:rPr>
        <w:t xml:space="preserve">                                                                                                  Michał Wiśnicki</w:t>
      </w:r>
    </w:p>
    <w:p w14:paraId="75E56E40" w14:textId="77777777" w:rsidR="00151C19" w:rsidRPr="006746C0" w:rsidRDefault="00151C19" w:rsidP="00151C19">
      <w:pPr>
        <w:pStyle w:val="Akapitzlist"/>
        <w:jc w:val="both"/>
        <w:rPr>
          <w:rFonts w:ascii="Tahoma" w:eastAsia="Times New Roman" w:hAnsi="Tahoma" w:cs="Tahoma"/>
          <w:kern w:val="1"/>
        </w:rPr>
      </w:pPr>
      <w:r w:rsidRPr="006746C0">
        <w:rPr>
          <w:rFonts w:ascii="Tahoma" w:eastAsia="Times New Roman" w:hAnsi="Tahoma" w:cs="Tahoma"/>
          <w:b/>
          <w:bCs/>
          <w:kern w:val="3"/>
          <w:lang w:eastAsia="ar-SA" w:bidi="fa-IR"/>
        </w:rPr>
        <w:t xml:space="preserve">                                                         </w:t>
      </w:r>
    </w:p>
    <w:p w14:paraId="26F58D0F" w14:textId="77777777" w:rsidR="00151C19" w:rsidRPr="00151C19" w:rsidRDefault="00151C19">
      <w:pPr>
        <w:rPr>
          <w:rFonts w:ascii="Tahoma" w:hAnsi="Tahoma" w:cs="Tahoma"/>
        </w:rPr>
      </w:pPr>
    </w:p>
    <w:sectPr w:rsidR="00151C19" w:rsidRPr="00151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63B"/>
    <w:multiLevelType w:val="hybridMultilevel"/>
    <w:tmpl w:val="4F8053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66FB0"/>
    <w:multiLevelType w:val="hybridMultilevel"/>
    <w:tmpl w:val="BBA2D5A4"/>
    <w:lvl w:ilvl="0" w:tplc="143E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01590320">
    <w:abstractNumId w:val="2"/>
  </w:num>
  <w:num w:numId="2" w16cid:durableId="1701397416">
    <w:abstractNumId w:val="2"/>
    <w:lvlOverride w:ilvl="0">
      <w:startOverride w:val="1"/>
    </w:lvlOverride>
  </w:num>
  <w:num w:numId="3" w16cid:durableId="1362591637">
    <w:abstractNumId w:val="0"/>
  </w:num>
  <w:num w:numId="4" w16cid:durableId="956301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19"/>
    <w:rsid w:val="00151C19"/>
    <w:rsid w:val="00CC59C7"/>
    <w:rsid w:val="00C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2029"/>
  <w15:chartTrackingRefBased/>
  <w15:docId w15:val="{3DEE234A-6280-4133-A75E-60D3F0FA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C19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151C19"/>
    <w:pPr>
      <w:numPr>
        <w:numId w:val="1"/>
      </w:numPr>
    </w:pPr>
  </w:style>
  <w:style w:type="paragraph" w:customStyle="1" w:styleId="Standard">
    <w:name w:val="Standard"/>
    <w:rsid w:val="00151C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51C19"/>
    <w:pPr>
      <w:ind w:left="708"/>
    </w:pPr>
  </w:style>
  <w:style w:type="character" w:customStyle="1" w:styleId="FontStyle15">
    <w:name w:val="Font Style15"/>
    <w:rsid w:val="00151C19"/>
    <w:rPr>
      <w:rFonts w:ascii="Arial Narrow" w:hAnsi="Arial Narrow" w:cs="Arial Narro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1</cp:revision>
  <dcterms:created xsi:type="dcterms:W3CDTF">2023-08-11T10:03:00Z</dcterms:created>
  <dcterms:modified xsi:type="dcterms:W3CDTF">2023-08-11T10:06:00Z</dcterms:modified>
</cp:coreProperties>
</file>