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9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43E3B4E5" w:rsidR="009C1EA5" w:rsidRPr="002654E0" w:rsidRDefault="00AF4951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color w:val="FF0000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Powołano Inspektora Ochrony Danych</w:t>
      </w:r>
      <w:r>
        <w:rPr>
          <w:rFonts w:asciiTheme="majorHAnsi" w:hAnsiTheme="majorHAnsi"/>
          <w:sz w:val="20"/>
          <w:szCs w:val="20"/>
        </w:rPr>
        <w:t xml:space="preserve"> </w:t>
      </w:r>
      <w:r w:rsidRPr="002B06CA">
        <w:rPr>
          <w:rFonts w:asciiTheme="majorHAnsi" w:hAnsiTheme="majorHAnsi"/>
          <w:sz w:val="20"/>
          <w:szCs w:val="20"/>
        </w:rPr>
        <w:t>Pan</w:t>
      </w:r>
      <w:r w:rsidR="00C010EB" w:rsidRPr="002B06CA">
        <w:rPr>
          <w:rFonts w:asciiTheme="majorHAnsi" w:hAnsiTheme="majorHAnsi"/>
          <w:sz w:val="20"/>
          <w:szCs w:val="20"/>
        </w:rPr>
        <w:t xml:space="preserve">a Waldemara </w:t>
      </w:r>
      <w:proofErr w:type="spellStart"/>
      <w:r w:rsidR="00C010EB" w:rsidRPr="002B06CA">
        <w:rPr>
          <w:rFonts w:asciiTheme="majorHAnsi" w:hAnsiTheme="majorHAnsi"/>
          <w:sz w:val="20"/>
          <w:szCs w:val="20"/>
        </w:rPr>
        <w:t>Hypsia</w:t>
      </w:r>
      <w:proofErr w:type="spellEnd"/>
      <w:r w:rsidRPr="002B06CA">
        <w:rPr>
          <w:rFonts w:asciiTheme="majorHAnsi" w:hAnsiTheme="majorHAnsi"/>
          <w:sz w:val="20"/>
          <w:szCs w:val="20"/>
        </w:rPr>
        <w:t xml:space="preserve">, który chętnie pomoże Państwu we wszystkich kwestiach związanych z ochroną danych osobowych. Kontakt z Inspektorem możliwy jest poprzez: kontakt osobisty w siedzibie Urzędu Miasta i Gminy w Chorzelach, adres </w:t>
      </w:r>
      <w:r w:rsidRPr="002B06CA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iod@chorzele.pl. </w:t>
      </w:r>
      <w:r w:rsidRPr="002B06CA">
        <w:rPr>
          <w:rFonts w:asciiTheme="majorHAnsi" w:eastAsia="Times New Roman" w:hAnsiTheme="majorHAnsi"/>
          <w:sz w:val="20"/>
          <w:szCs w:val="20"/>
        </w:rPr>
        <w:t>lub nr tel.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 +48(29)751-65-56</w:t>
      </w:r>
      <w:r w:rsidR="00FC14AC" w:rsidRPr="002B06CA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658C07AB" w14:textId="211A0E45" w:rsidR="005B0FE1" w:rsidRPr="00706C72" w:rsidRDefault="009C1EA5" w:rsidP="005B0FE1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2B43658F" w14:textId="031C6252" w:rsidR="00430800" w:rsidRPr="005B0FE1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5975A8">
      <w:headerReference w:type="default" r:id="rId10"/>
      <w:pgSz w:w="11906" w:h="16838"/>
      <w:pgMar w:top="170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20C0" w14:textId="77777777" w:rsidR="00550466" w:rsidRDefault="00550466" w:rsidP="00FC14AC">
      <w:pPr>
        <w:spacing w:after="0" w:line="240" w:lineRule="auto"/>
      </w:pPr>
      <w:r>
        <w:separator/>
      </w:r>
    </w:p>
  </w:endnote>
  <w:endnote w:type="continuationSeparator" w:id="0">
    <w:p w14:paraId="6880B7ED" w14:textId="77777777" w:rsidR="00550466" w:rsidRDefault="0055046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3038" w14:textId="77777777" w:rsidR="00550466" w:rsidRDefault="00550466" w:rsidP="00FC14AC">
      <w:pPr>
        <w:spacing w:after="0" w:line="240" w:lineRule="auto"/>
      </w:pPr>
      <w:r>
        <w:separator/>
      </w:r>
    </w:p>
  </w:footnote>
  <w:footnote w:type="continuationSeparator" w:id="0">
    <w:p w14:paraId="4CE90E9B" w14:textId="77777777" w:rsidR="00550466" w:rsidRDefault="0055046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3A1" w14:textId="00C67B9A" w:rsidR="00595396" w:rsidRDefault="00706C72" w:rsidP="00706C72">
    <w:pPr>
      <w:tabs>
        <w:tab w:val="left" w:pos="4575"/>
      </w:tabs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A5DF75" wp14:editId="72FA009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686425" cy="381000"/>
          <wp:effectExtent l="0" t="0" r="9525" b="0"/>
          <wp:wrapNone/>
          <wp:docPr id="125108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ab/>
    </w: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7"/>
      <w:gridCol w:w="5155"/>
    </w:tblGrid>
    <w:tr w:rsidR="00FC14AC" w14:paraId="43792D0F" w14:textId="77777777" w:rsidTr="00706C72">
      <w:tc>
        <w:tcPr>
          <w:tcW w:w="3917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1573103968" name="Obraz 1573103968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7C99D3E1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r w:rsidR="00706C72" w:rsidRPr="00706C72">
            <w:rPr>
              <w:rFonts w:eastAsia="Times New Roman" w:cstheme="minorHAnsi"/>
              <w:b/>
              <w:bCs/>
              <w:sz w:val="24"/>
              <w:szCs w:val="24"/>
              <w:lang w:val="pl" w:eastAsia="ar-SA"/>
            </w:rPr>
            <w:t>Zakup ciężkiego samochodu ratowniczo-gaśniczego wraz z pełnym wyposażeniem dla jednostki OSP Zaręby, włączonej do Krajowego Systemu Ratowniczo-Gaśniczego</w:t>
          </w:r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55F1CC9C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 xml:space="preserve">: </w:t>
          </w:r>
          <w:r w:rsidR="00706C72" w:rsidRPr="00706C72">
            <w:rPr>
              <w:rFonts w:cs="Arial"/>
              <w:b/>
              <w:sz w:val="24"/>
              <w:szCs w:val="24"/>
            </w:rPr>
            <w:t>WROZ.272.6.2024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BF17AA-4C98-45D7-B1D7-C4278C1FE0F2}"/>
  </w:docVars>
  <w:rsids>
    <w:rsidRoot w:val="00FC14AC"/>
    <w:rsid w:val="00034ACC"/>
    <w:rsid w:val="00062BE5"/>
    <w:rsid w:val="000653D2"/>
    <w:rsid w:val="00097BC0"/>
    <w:rsid w:val="000D7F7A"/>
    <w:rsid w:val="00132EFA"/>
    <w:rsid w:val="00141293"/>
    <w:rsid w:val="0016441E"/>
    <w:rsid w:val="001C0543"/>
    <w:rsid w:val="002654E0"/>
    <w:rsid w:val="002B06CA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50466"/>
    <w:rsid w:val="00595396"/>
    <w:rsid w:val="005975A8"/>
    <w:rsid w:val="005B0FE1"/>
    <w:rsid w:val="00613F34"/>
    <w:rsid w:val="00706C72"/>
    <w:rsid w:val="00743C66"/>
    <w:rsid w:val="007456CC"/>
    <w:rsid w:val="007615F0"/>
    <w:rsid w:val="007A51EE"/>
    <w:rsid w:val="007A5AEA"/>
    <w:rsid w:val="007B2CA7"/>
    <w:rsid w:val="007C116A"/>
    <w:rsid w:val="007F1FAF"/>
    <w:rsid w:val="007F6036"/>
    <w:rsid w:val="00847816"/>
    <w:rsid w:val="0089119B"/>
    <w:rsid w:val="008B58A1"/>
    <w:rsid w:val="008D16FF"/>
    <w:rsid w:val="0090233A"/>
    <w:rsid w:val="0097275D"/>
    <w:rsid w:val="009C1EA5"/>
    <w:rsid w:val="009F4D31"/>
    <w:rsid w:val="00A04DE9"/>
    <w:rsid w:val="00A0709B"/>
    <w:rsid w:val="00A3430E"/>
    <w:rsid w:val="00A460D8"/>
    <w:rsid w:val="00A52AB6"/>
    <w:rsid w:val="00A8147A"/>
    <w:rsid w:val="00AA1DE3"/>
    <w:rsid w:val="00AA5057"/>
    <w:rsid w:val="00AF4951"/>
    <w:rsid w:val="00B8719A"/>
    <w:rsid w:val="00C010EB"/>
    <w:rsid w:val="00C17D24"/>
    <w:rsid w:val="00C33E05"/>
    <w:rsid w:val="00C52606"/>
    <w:rsid w:val="00C534BD"/>
    <w:rsid w:val="00CA623D"/>
    <w:rsid w:val="00CE6A4F"/>
    <w:rsid w:val="00CF5DD5"/>
    <w:rsid w:val="00D51233"/>
    <w:rsid w:val="00DE2362"/>
    <w:rsid w:val="00DE7838"/>
    <w:rsid w:val="00DF15D9"/>
    <w:rsid w:val="00E94E9D"/>
    <w:rsid w:val="00EC7E5D"/>
    <w:rsid w:val="00F638D4"/>
    <w:rsid w:val="00F90CE2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F17AA-4C98-45D7-B1D7-C4278C1FE0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UMiG_Chorzele</cp:lastModifiedBy>
  <cp:revision>12</cp:revision>
  <cp:lastPrinted>2024-06-10T09:32:00Z</cp:lastPrinted>
  <dcterms:created xsi:type="dcterms:W3CDTF">2022-10-17T23:13:00Z</dcterms:created>
  <dcterms:modified xsi:type="dcterms:W3CDTF">2024-06-10T09:33:00Z</dcterms:modified>
</cp:coreProperties>
</file>