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C1724" w14:textId="34E0CF77" w:rsidR="00F3695E" w:rsidRPr="000E74D6" w:rsidRDefault="00000000" w:rsidP="00BE2CC0">
      <w:pPr>
        <w:spacing w:before="120" w:after="0" w:line="276" w:lineRule="auto"/>
        <w:jc w:val="center"/>
        <w:rPr>
          <w:rFonts w:cstheme="minorHAnsi"/>
          <w:b/>
          <w:sz w:val="24"/>
          <w:szCs w:val="24"/>
        </w:rPr>
      </w:pPr>
      <w:r w:rsidRPr="000E74D6">
        <w:rPr>
          <w:rFonts w:cstheme="minorHAnsi"/>
          <w:b/>
          <w:sz w:val="24"/>
          <w:szCs w:val="24"/>
        </w:rPr>
        <w:t>UCHWAŁA Nr</w:t>
      </w:r>
      <w:r w:rsidR="00627EAB">
        <w:rPr>
          <w:rFonts w:cstheme="minorHAnsi"/>
          <w:b/>
          <w:sz w:val="24"/>
          <w:szCs w:val="24"/>
        </w:rPr>
        <w:t xml:space="preserve"> 50</w:t>
      </w:r>
      <w:r w:rsidR="000E74D6">
        <w:rPr>
          <w:rFonts w:cstheme="minorHAnsi"/>
          <w:b/>
          <w:sz w:val="24"/>
          <w:szCs w:val="24"/>
        </w:rPr>
        <w:t>/X/24</w:t>
      </w:r>
    </w:p>
    <w:p w14:paraId="1B9A9042" w14:textId="24601569" w:rsidR="000E74D6" w:rsidRDefault="000E74D6" w:rsidP="00BE2CC0">
      <w:pPr>
        <w:spacing w:before="120" w:after="0" w:line="276" w:lineRule="auto"/>
        <w:jc w:val="center"/>
        <w:rPr>
          <w:rFonts w:cstheme="minorHAnsi"/>
          <w:b/>
          <w:sz w:val="24"/>
          <w:szCs w:val="24"/>
        </w:rPr>
      </w:pPr>
      <w:r w:rsidRPr="000E74D6">
        <w:rPr>
          <w:rFonts w:cstheme="minorHAnsi"/>
          <w:b/>
          <w:sz w:val="24"/>
          <w:szCs w:val="24"/>
        </w:rPr>
        <w:t>RADY MIEJSKIEJ W CHORZELACH</w:t>
      </w:r>
    </w:p>
    <w:p w14:paraId="58AD80DF" w14:textId="1335C155" w:rsidR="00BE2CC0" w:rsidRPr="000E74D6" w:rsidRDefault="000E74D6" w:rsidP="00BE2CC0">
      <w:pPr>
        <w:spacing w:before="120" w:line="276" w:lineRule="auto"/>
        <w:jc w:val="center"/>
        <w:rPr>
          <w:rFonts w:cstheme="minorHAnsi"/>
          <w:bCs/>
          <w:sz w:val="24"/>
          <w:szCs w:val="24"/>
        </w:rPr>
      </w:pPr>
      <w:r w:rsidRPr="000E74D6">
        <w:rPr>
          <w:rFonts w:cstheme="minorHAnsi"/>
          <w:bCs/>
          <w:sz w:val="24"/>
          <w:szCs w:val="24"/>
        </w:rPr>
        <w:t>z dnia 26 listopada 2024 r.</w:t>
      </w:r>
    </w:p>
    <w:p w14:paraId="2E1F1AC5" w14:textId="6B563C7D" w:rsidR="00F3695E" w:rsidRPr="000E74D6" w:rsidRDefault="000E74D6" w:rsidP="002248DE">
      <w:pPr>
        <w:spacing w:before="120"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</w:t>
      </w:r>
      <w:r w:rsidRPr="000E74D6">
        <w:rPr>
          <w:rFonts w:cstheme="minorHAnsi"/>
          <w:b/>
          <w:sz w:val="24"/>
          <w:szCs w:val="24"/>
        </w:rPr>
        <w:t xml:space="preserve"> sprawie określenia szczegółowych warunków przyznawania i odpłatności za usługi opiekuńcze i specjalistyczne usługi opiekuńcze z wyłączeniem specjalistycznych usług opiekuńczych dla osób z zaburzeniami psychicznymi oraz szczególnych warunków częściowego lub całkowitego zwolnienia od odpłat i tryb ich pobierania.</w:t>
      </w:r>
    </w:p>
    <w:p w14:paraId="7A52CA06" w14:textId="77777777" w:rsidR="00F3695E" w:rsidRPr="000E74D6" w:rsidRDefault="00000000" w:rsidP="002248DE">
      <w:pPr>
        <w:spacing w:before="120" w:line="276" w:lineRule="auto"/>
        <w:jc w:val="both"/>
        <w:rPr>
          <w:rFonts w:cstheme="minorHAnsi"/>
          <w:sz w:val="24"/>
          <w:szCs w:val="24"/>
        </w:rPr>
      </w:pPr>
      <w:r w:rsidRPr="000E74D6">
        <w:rPr>
          <w:rFonts w:cstheme="minorHAnsi"/>
          <w:sz w:val="24"/>
          <w:szCs w:val="24"/>
        </w:rPr>
        <w:tab/>
        <w:t>Na podstawie art. 18 ust. 2 pkt 15, art. 40 ust. 1 i art. 41 ust. 1 ustawy z dnia 8 marca 1990 r. o samorządzie gminnym (Dz. U z 2024 r. poz. 1465) w związku z art. 17 ust.1 pkt 11 i art. 50 ust.1, ust. 2 i ust. 6 ustawy z dnia 12 marca 2004 r. o pomocy społecznej (Dz.U. z 2024 r. poz. 1283) Rada Miejska w Chorzelach uchwala, co następuje:</w:t>
      </w:r>
    </w:p>
    <w:p w14:paraId="731763CC" w14:textId="635C742E" w:rsidR="002248DE" w:rsidRDefault="00000000" w:rsidP="002248DE">
      <w:pPr>
        <w:spacing w:before="12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E74D6">
        <w:rPr>
          <w:rFonts w:cstheme="minorHAnsi"/>
          <w:b/>
          <w:bCs/>
          <w:sz w:val="24"/>
          <w:szCs w:val="24"/>
        </w:rPr>
        <w:t>§ 1.</w:t>
      </w:r>
    </w:p>
    <w:p w14:paraId="551D3131" w14:textId="77E3A3FF" w:rsidR="00F3695E" w:rsidRPr="000E74D6" w:rsidRDefault="00000000" w:rsidP="002248DE">
      <w:pPr>
        <w:spacing w:before="120" w:line="276" w:lineRule="auto"/>
        <w:jc w:val="both"/>
        <w:rPr>
          <w:rFonts w:cstheme="minorHAnsi"/>
          <w:sz w:val="24"/>
          <w:szCs w:val="24"/>
        </w:rPr>
      </w:pPr>
      <w:r w:rsidRPr="000E74D6">
        <w:rPr>
          <w:rFonts w:cstheme="minorHAnsi"/>
          <w:sz w:val="24"/>
          <w:szCs w:val="24"/>
        </w:rPr>
        <w:t>Określa się szczegółowe warunki przyznawania i odpłatności za usługi opiekuńcze i specjalistyczne usługi opiekuńcze z wyłączeniem specjalistycznych usług opiekuńczych dla osób z zaburzeniami psychicznymi oraz szczegółowe warunki częściowego lub całkowitego zwolnienia od ponoszenia opłat, jak również tryb ich pobierania.</w:t>
      </w:r>
    </w:p>
    <w:p w14:paraId="33FEA764" w14:textId="3938F7D2" w:rsidR="002248DE" w:rsidRDefault="00000000" w:rsidP="002248DE">
      <w:pPr>
        <w:spacing w:before="120" w:line="276" w:lineRule="auto"/>
        <w:jc w:val="center"/>
        <w:rPr>
          <w:rFonts w:cstheme="minorHAnsi"/>
          <w:sz w:val="24"/>
          <w:szCs w:val="24"/>
        </w:rPr>
      </w:pPr>
      <w:r w:rsidRPr="000E74D6">
        <w:rPr>
          <w:rFonts w:cstheme="minorHAnsi"/>
          <w:b/>
          <w:bCs/>
          <w:sz w:val="24"/>
          <w:szCs w:val="24"/>
        </w:rPr>
        <w:t>§ 2.</w:t>
      </w:r>
    </w:p>
    <w:p w14:paraId="5BF50156" w14:textId="6CE1F847" w:rsidR="00F3695E" w:rsidRPr="000E74D6" w:rsidRDefault="00000000" w:rsidP="002248DE">
      <w:pPr>
        <w:spacing w:before="120" w:line="276" w:lineRule="auto"/>
        <w:jc w:val="both"/>
        <w:rPr>
          <w:rFonts w:cstheme="minorHAnsi"/>
          <w:sz w:val="24"/>
          <w:szCs w:val="24"/>
        </w:rPr>
      </w:pPr>
      <w:r w:rsidRPr="000E74D6">
        <w:rPr>
          <w:rFonts w:cstheme="minorHAnsi"/>
          <w:sz w:val="24"/>
          <w:szCs w:val="24"/>
        </w:rPr>
        <w:t>Pomoc w formie usług opiekuńczych lub specjalistycznych usług opiekuńczych przysługuje osobom uprawnionym na mocy art. 50 ust. 1 i ust. 2 ustawy o pomocy społecznej.</w:t>
      </w:r>
    </w:p>
    <w:p w14:paraId="52B77BCF" w14:textId="6415A1F8" w:rsidR="002248DE" w:rsidRDefault="00000000" w:rsidP="002248DE">
      <w:pPr>
        <w:spacing w:before="120" w:line="276" w:lineRule="auto"/>
        <w:jc w:val="center"/>
        <w:rPr>
          <w:rFonts w:cstheme="minorHAnsi"/>
          <w:sz w:val="24"/>
          <w:szCs w:val="24"/>
        </w:rPr>
      </w:pPr>
      <w:r w:rsidRPr="000E74D6">
        <w:rPr>
          <w:rFonts w:cstheme="minorHAnsi"/>
          <w:b/>
          <w:bCs/>
          <w:sz w:val="24"/>
          <w:szCs w:val="24"/>
        </w:rPr>
        <w:t>§</w:t>
      </w:r>
      <w:r w:rsidR="000E74D6">
        <w:rPr>
          <w:rFonts w:cstheme="minorHAnsi"/>
          <w:b/>
          <w:bCs/>
          <w:sz w:val="24"/>
          <w:szCs w:val="24"/>
        </w:rPr>
        <w:t xml:space="preserve"> </w:t>
      </w:r>
      <w:r w:rsidRPr="000E74D6">
        <w:rPr>
          <w:rFonts w:cstheme="minorHAnsi"/>
          <w:b/>
          <w:bCs/>
          <w:sz w:val="24"/>
          <w:szCs w:val="24"/>
        </w:rPr>
        <w:t>3.</w:t>
      </w:r>
    </w:p>
    <w:p w14:paraId="61412698" w14:textId="59880869" w:rsidR="00F3695E" w:rsidRPr="000E74D6" w:rsidRDefault="00000000" w:rsidP="002248DE">
      <w:pPr>
        <w:spacing w:before="120" w:line="276" w:lineRule="auto"/>
        <w:jc w:val="both"/>
        <w:rPr>
          <w:rFonts w:cstheme="minorHAnsi"/>
          <w:sz w:val="24"/>
          <w:szCs w:val="24"/>
        </w:rPr>
      </w:pPr>
      <w:r w:rsidRPr="000E74D6">
        <w:rPr>
          <w:rFonts w:cstheme="minorHAnsi"/>
          <w:sz w:val="24"/>
          <w:szCs w:val="24"/>
        </w:rPr>
        <w:t>Przesłankami , które należy spełnić aby skorzystać z usług opiekuńczych lub specjalistycznych usług opiekuńczych jest stan zdrowia świadczeniobiorcy, jego sytuacja rodzinna oraz sytuacja materialna jego rodziny.</w:t>
      </w:r>
    </w:p>
    <w:p w14:paraId="153E7BA5" w14:textId="191A27BC" w:rsidR="002248DE" w:rsidRDefault="00000000" w:rsidP="002248DE">
      <w:pPr>
        <w:spacing w:before="12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E74D6">
        <w:rPr>
          <w:rFonts w:cstheme="minorHAnsi"/>
          <w:b/>
          <w:bCs/>
          <w:sz w:val="24"/>
          <w:szCs w:val="24"/>
        </w:rPr>
        <w:t>§ 4.</w:t>
      </w:r>
    </w:p>
    <w:p w14:paraId="1B7273B5" w14:textId="2CF384E8" w:rsidR="00F3695E" w:rsidRPr="000E74D6" w:rsidRDefault="00000000" w:rsidP="002248DE">
      <w:pPr>
        <w:spacing w:before="120" w:line="276" w:lineRule="auto"/>
        <w:jc w:val="both"/>
        <w:rPr>
          <w:rFonts w:cstheme="minorHAnsi"/>
          <w:sz w:val="24"/>
          <w:szCs w:val="24"/>
        </w:rPr>
      </w:pPr>
      <w:r w:rsidRPr="000E74D6">
        <w:rPr>
          <w:rFonts w:cstheme="minorHAnsi"/>
          <w:sz w:val="24"/>
          <w:szCs w:val="24"/>
        </w:rPr>
        <w:t>Usługi opiekuńcze i specjalistyczne usługi opiekuńcze, o których mowa w § 2 przyznaje się na wniosek osoby zainteresowanej, jej przedstawiciela ustawowego albo innej osoby, za zgodą osoby zainteresowanej lub jej przedstawiciela ustawowego po uprzednim przeprowadzeniu wywiadu środowiskowego.</w:t>
      </w:r>
    </w:p>
    <w:p w14:paraId="28AD5161" w14:textId="1C17B04F" w:rsidR="002248DE" w:rsidRDefault="00000000" w:rsidP="002248DE">
      <w:pPr>
        <w:spacing w:before="120" w:line="276" w:lineRule="auto"/>
        <w:jc w:val="center"/>
        <w:rPr>
          <w:rFonts w:cstheme="minorHAnsi"/>
          <w:sz w:val="24"/>
          <w:szCs w:val="24"/>
        </w:rPr>
      </w:pPr>
      <w:r w:rsidRPr="000E74D6">
        <w:rPr>
          <w:rFonts w:cstheme="minorHAnsi"/>
          <w:b/>
          <w:bCs/>
          <w:sz w:val="24"/>
          <w:szCs w:val="24"/>
        </w:rPr>
        <w:t>§ 5.</w:t>
      </w:r>
    </w:p>
    <w:p w14:paraId="10CD9C1B" w14:textId="1B731304" w:rsidR="00F3695E" w:rsidRPr="000E74D6" w:rsidRDefault="00000000" w:rsidP="002248DE">
      <w:pPr>
        <w:spacing w:before="120" w:line="276" w:lineRule="auto"/>
        <w:jc w:val="both"/>
        <w:rPr>
          <w:rFonts w:cstheme="minorHAnsi"/>
          <w:sz w:val="24"/>
          <w:szCs w:val="24"/>
        </w:rPr>
      </w:pPr>
      <w:r w:rsidRPr="000E74D6">
        <w:rPr>
          <w:rFonts w:cstheme="minorHAnsi"/>
          <w:sz w:val="24"/>
          <w:szCs w:val="24"/>
        </w:rPr>
        <w:t>Pracownik socjalny w rodzinnym wywiadzie środowiskowym ustala rodzaj i zakres usług oraz ilość godzin, jaka będzie konieczna dla zaspokojenia niezbędnych potrzeb świadczeniobiorcy.</w:t>
      </w:r>
    </w:p>
    <w:p w14:paraId="77724EEF" w14:textId="774B1604" w:rsidR="002248DE" w:rsidRDefault="00000000" w:rsidP="002248DE">
      <w:pPr>
        <w:spacing w:before="12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E74D6">
        <w:rPr>
          <w:rFonts w:cstheme="minorHAnsi"/>
          <w:b/>
          <w:bCs/>
          <w:sz w:val="24"/>
          <w:szCs w:val="24"/>
        </w:rPr>
        <w:t>§ 6.</w:t>
      </w:r>
    </w:p>
    <w:p w14:paraId="3AEA77DF" w14:textId="53D397C5" w:rsidR="00F3695E" w:rsidRPr="000E74D6" w:rsidRDefault="00000000" w:rsidP="002248DE">
      <w:pPr>
        <w:spacing w:before="120" w:line="276" w:lineRule="auto"/>
        <w:jc w:val="both"/>
        <w:rPr>
          <w:rFonts w:cstheme="minorHAnsi"/>
          <w:sz w:val="24"/>
          <w:szCs w:val="24"/>
        </w:rPr>
      </w:pPr>
      <w:r w:rsidRPr="000E74D6">
        <w:rPr>
          <w:rFonts w:cstheme="minorHAnsi"/>
          <w:sz w:val="24"/>
          <w:szCs w:val="24"/>
        </w:rPr>
        <w:t>Usługi opiekuńcze lub specjalistyczne usługi opiekuńcze świadczone są w miejscu zamieszkania świadczeniobiorcy</w:t>
      </w:r>
      <w:r w:rsidRPr="000E74D6">
        <w:rPr>
          <w:rFonts w:cstheme="minorHAnsi"/>
          <w:color w:val="FF0000"/>
          <w:sz w:val="24"/>
          <w:szCs w:val="24"/>
        </w:rPr>
        <w:t xml:space="preserve"> </w:t>
      </w:r>
      <w:r w:rsidRPr="000E74D6">
        <w:rPr>
          <w:rFonts w:cstheme="minorHAnsi"/>
          <w:sz w:val="24"/>
          <w:szCs w:val="24"/>
        </w:rPr>
        <w:t xml:space="preserve">w dni robocze w godzinach od 7:30-15:30. </w:t>
      </w:r>
    </w:p>
    <w:p w14:paraId="746F7743" w14:textId="733F3894" w:rsidR="002248DE" w:rsidRDefault="00000000" w:rsidP="002248DE">
      <w:pPr>
        <w:spacing w:before="120" w:line="276" w:lineRule="auto"/>
        <w:jc w:val="center"/>
        <w:rPr>
          <w:rFonts w:cstheme="minorHAnsi"/>
          <w:sz w:val="24"/>
          <w:szCs w:val="24"/>
        </w:rPr>
      </w:pPr>
      <w:r w:rsidRPr="000E74D6">
        <w:rPr>
          <w:rFonts w:cstheme="minorHAnsi"/>
          <w:b/>
          <w:bCs/>
          <w:sz w:val="24"/>
          <w:szCs w:val="24"/>
        </w:rPr>
        <w:t>§ 7.</w:t>
      </w:r>
    </w:p>
    <w:p w14:paraId="50058B77" w14:textId="16988693" w:rsidR="00F3695E" w:rsidRPr="000E74D6" w:rsidRDefault="00000000" w:rsidP="002248DE">
      <w:pPr>
        <w:spacing w:before="120" w:line="276" w:lineRule="auto"/>
        <w:jc w:val="both"/>
        <w:rPr>
          <w:rFonts w:cstheme="minorHAnsi"/>
          <w:sz w:val="24"/>
          <w:szCs w:val="24"/>
        </w:rPr>
      </w:pPr>
      <w:r w:rsidRPr="000E74D6">
        <w:rPr>
          <w:rFonts w:cstheme="minorHAnsi"/>
          <w:sz w:val="24"/>
          <w:szCs w:val="24"/>
        </w:rPr>
        <w:lastRenderedPageBreak/>
        <w:t>Usługi opiekuńcze lub specjalistyczne usługi opiekuńcze mogą być realizowane nieodpłatnie lub odpłatnie.</w:t>
      </w:r>
    </w:p>
    <w:p w14:paraId="1CFEF6BF" w14:textId="7C4CAFE3" w:rsidR="002248DE" w:rsidRDefault="00000000" w:rsidP="002248DE">
      <w:pPr>
        <w:spacing w:before="12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E74D6">
        <w:rPr>
          <w:rFonts w:cstheme="minorHAnsi"/>
          <w:b/>
          <w:bCs/>
          <w:sz w:val="24"/>
          <w:szCs w:val="24"/>
        </w:rPr>
        <w:t>§ 8.</w:t>
      </w:r>
    </w:p>
    <w:p w14:paraId="7FC42BD1" w14:textId="5B6A6DB1" w:rsidR="00F3695E" w:rsidRPr="000E74D6" w:rsidRDefault="00000000" w:rsidP="002248DE">
      <w:pPr>
        <w:spacing w:before="120" w:line="276" w:lineRule="auto"/>
        <w:jc w:val="both"/>
        <w:rPr>
          <w:rFonts w:cstheme="minorHAnsi"/>
          <w:sz w:val="24"/>
          <w:szCs w:val="24"/>
        </w:rPr>
      </w:pPr>
      <w:r w:rsidRPr="000E74D6">
        <w:rPr>
          <w:rFonts w:cstheme="minorHAnsi"/>
          <w:sz w:val="24"/>
          <w:szCs w:val="24"/>
        </w:rPr>
        <w:t>Wyliczenie odpłatności za usługi opiekuńcze lub specjalistyczne usługi opiekuńcze następuje przy uwzględnieniu, że:</w:t>
      </w:r>
    </w:p>
    <w:p w14:paraId="23D1FE18" w14:textId="77777777" w:rsidR="00F3695E" w:rsidRPr="000E74D6" w:rsidRDefault="00000000" w:rsidP="002248DE">
      <w:pPr>
        <w:pStyle w:val="Akapitzlist"/>
        <w:numPr>
          <w:ilvl w:val="0"/>
          <w:numId w:val="1"/>
        </w:numPr>
        <w:spacing w:before="120" w:line="276" w:lineRule="auto"/>
        <w:jc w:val="both"/>
        <w:rPr>
          <w:rFonts w:cstheme="minorHAnsi"/>
          <w:sz w:val="24"/>
          <w:szCs w:val="24"/>
        </w:rPr>
      </w:pPr>
      <w:r w:rsidRPr="000E74D6">
        <w:rPr>
          <w:rFonts w:cstheme="minorHAnsi"/>
          <w:sz w:val="24"/>
          <w:szCs w:val="24"/>
        </w:rPr>
        <w:t>koszt 1 godziny usług opiekuńczych ustala się w wysokości 35,70 zł brutto:</w:t>
      </w:r>
    </w:p>
    <w:p w14:paraId="4A0D9A49" w14:textId="77777777" w:rsidR="00F3695E" w:rsidRPr="000E74D6" w:rsidRDefault="00000000" w:rsidP="002248DE">
      <w:pPr>
        <w:pStyle w:val="Akapitzlist"/>
        <w:numPr>
          <w:ilvl w:val="0"/>
          <w:numId w:val="1"/>
        </w:numPr>
        <w:spacing w:before="120" w:line="276" w:lineRule="auto"/>
        <w:jc w:val="both"/>
        <w:rPr>
          <w:rFonts w:cstheme="minorHAnsi"/>
          <w:sz w:val="24"/>
          <w:szCs w:val="24"/>
        </w:rPr>
      </w:pPr>
      <w:r w:rsidRPr="000E74D6">
        <w:rPr>
          <w:rFonts w:cstheme="minorHAnsi"/>
          <w:sz w:val="24"/>
          <w:szCs w:val="24"/>
        </w:rPr>
        <w:t>koszt 1 godziny usług specjalistycznych usług opiekuńczych ustala się w wysokości 71,50 zł brutto.</w:t>
      </w:r>
    </w:p>
    <w:p w14:paraId="38EE32E4" w14:textId="25232527" w:rsidR="002248DE" w:rsidRDefault="00000000" w:rsidP="002248DE">
      <w:pPr>
        <w:spacing w:before="120" w:line="276" w:lineRule="auto"/>
        <w:jc w:val="center"/>
        <w:rPr>
          <w:rFonts w:cstheme="minorHAnsi"/>
          <w:sz w:val="24"/>
          <w:szCs w:val="24"/>
        </w:rPr>
      </w:pPr>
      <w:r w:rsidRPr="000E74D6">
        <w:rPr>
          <w:rFonts w:cstheme="minorHAnsi"/>
          <w:b/>
          <w:bCs/>
          <w:sz w:val="24"/>
          <w:szCs w:val="24"/>
        </w:rPr>
        <w:t>§ 9.</w:t>
      </w:r>
    </w:p>
    <w:p w14:paraId="06E4CBDF" w14:textId="250481A4" w:rsidR="00F3695E" w:rsidRPr="000E74D6" w:rsidRDefault="00000000" w:rsidP="002248DE">
      <w:pPr>
        <w:spacing w:before="120" w:line="276" w:lineRule="auto"/>
        <w:jc w:val="both"/>
        <w:rPr>
          <w:rFonts w:cstheme="minorHAnsi"/>
          <w:sz w:val="24"/>
          <w:szCs w:val="24"/>
        </w:rPr>
      </w:pPr>
      <w:r w:rsidRPr="000E74D6">
        <w:rPr>
          <w:rFonts w:cstheme="minorHAnsi"/>
          <w:sz w:val="24"/>
          <w:szCs w:val="24"/>
        </w:rPr>
        <w:t>Usługi przysługują nieodpłatnie, jeżeli dochód osoby samotnie gospodarującej lub dochód na osobę w rodzinie wymagającej przyznania usług nie przekracza odpowiednio kryterium dochodowego określonego w art. 8 ust. 1 pkt 1 lub pkt 2 ustawy o pomocy społecznej.</w:t>
      </w:r>
    </w:p>
    <w:p w14:paraId="6B8EE805" w14:textId="6467F330" w:rsidR="002248DE" w:rsidRDefault="00000000" w:rsidP="002248DE">
      <w:pPr>
        <w:spacing w:before="120" w:line="276" w:lineRule="auto"/>
        <w:jc w:val="center"/>
        <w:rPr>
          <w:rFonts w:cstheme="minorHAnsi"/>
          <w:sz w:val="24"/>
          <w:szCs w:val="24"/>
        </w:rPr>
      </w:pPr>
      <w:r w:rsidRPr="000E74D6">
        <w:rPr>
          <w:rFonts w:cstheme="minorHAnsi"/>
          <w:b/>
          <w:bCs/>
          <w:sz w:val="24"/>
          <w:szCs w:val="24"/>
        </w:rPr>
        <w:t>§ 10.</w:t>
      </w:r>
    </w:p>
    <w:p w14:paraId="126DEC54" w14:textId="50551837" w:rsidR="00F3695E" w:rsidRPr="000E74D6" w:rsidRDefault="00000000" w:rsidP="002248DE">
      <w:pPr>
        <w:spacing w:before="120" w:line="276" w:lineRule="auto"/>
        <w:jc w:val="both"/>
        <w:rPr>
          <w:rFonts w:cstheme="minorHAnsi"/>
          <w:sz w:val="24"/>
          <w:szCs w:val="24"/>
        </w:rPr>
      </w:pPr>
      <w:r w:rsidRPr="000E74D6">
        <w:rPr>
          <w:rFonts w:cstheme="minorHAnsi"/>
          <w:sz w:val="24"/>
          <w:szCs w:val="24"/>
        </w:rPr>
        <w:t xml:space="preserve">Wysokość odpłatności za usługi opiekuńcze lub </w:t>
      </w:r>
      <w:bookmarkStart w:id="0" w:name="OLE_LINK2"/>
      <w:bookmarkStart w:id="1" w:name="OLE_LINK1"/>
      <w:r w:rsidRPr="000E74D6">
        <w:rPr>
          <w:rFonts w:cstheme="minorHAnsi"/>
          <w:sz w:val="24"/>
          <w:szCs w:val="24"/>
        </w:rPr>
        <w:t xml:space="preserve">specjalistyczne usługi opiekuńcze </w:t>
      </w:r>
      <w:bookmarkEnd w:id="0"/>
      <w:bookmarkEnd w:id="1"/>
      <w:r w:rsidRPr="000E74D6">
        <w:rPr>
          <w:rFonts w:cstheme="minorHAnsi"/>
          <w:sz w:val="24"/>
          <w:szCs w:val="24"/>
        </w:rPr>
        <w:t>uzależniona jest od dochodu w rodzinie lub osoby samotnie gospodarującej na zasadach określonych w tabeli:</w:t>
      </w:r>
    </w:p>
    <w:p w14:paraId="1E0FFC7A" w14:textId="77777777" w:rsidR="00F3695E" w:rsidRPr="000E74D6" w:rsidRDefault="00000000" w:rsidP="002248DE">
      <w:pPr>
        <w:spacing w:before="120" w:line="276" w:lineRule="auto"/>
        <w:rPr>
          <w:rFonts w:cstheme="minorHAnsi"/>
          <w:sz w:val="24"/>
          <w:szCs w:val="24"/>
        </w:rPr>
      </w:pPr>
      <w:r w:rsidRPr="000E74D6">
        <w:rPr>
          <w:rFonts w:eastAsia="Times New Roman" w:cstheme="minorHAnsi"/>
          <w:b/>
          <w:color w:val="00000A"/>
          <w:sz w:val="24"/>
          <w:szCs w:val="24"/>
          <w:lang w:eastAsia="zh-CN"/>
        </w:rPr>
        <w:t>Tabela odpłatności za usługi opiekuńcze:</w:t>
      </w:r>
    </w:p>
    <w:tbl>
      <w:tblPr>
        <w:tblW w:w="9168" w:type="dxa"/>
        <w:tblInd w:w="-103" w:type="dxa"/>
        <w:tblLayout w:type="fixed"/>
        <w:tblCellMar>
          <w:left w:w="2" w:type="dxa"/>
          <w:right w:w="5" w:type="dxa"/>
        </w:tblCellMar>
        <w:tblLook w:val="0000" w:firstRow="0" w:lastRow="0" w:firstColumn="0" w:lastColumn="0" w:noHBand="0" w:noVBand="0"/>
      </w:tblPr>
      <w:tblGrid>
        <w:gridCol w:w="528"/>
        <w:gridCol w:w="4252"/>
        <w:gridCol w:w="2126"/>
        <w:gridCol w:w="2262"/>
      </w:tblGrid>
      <w:tr w:rsidR="00F3695E" w:rsidRPr="000E74D6" w14:paraId="1C83B7E9" w14:textId="77777777">
        <w:trPr>
          <w:trHeight w:val="1057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FFFFFF"/>
          </w:tcPr>
          <w:p w14:paraId="6655A35E" w14:textId="77777777" w:rsidR="00F3695E" w:rsidRPr="000E74D6" w:rsidRDefault="00000000" w:rsidP="002248DE">
            <w:pPr>
              <w:widowControl w:val="0"/>
              <w:spacing w:before="120" w:after="0" w:line="276" w:lineRule="auto"/>
              <w:jc w:val="center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  <w:r w:rsidRPr="000E74D6"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7E693F30" w14:textId="77777777" w:rsidR="00F3695E" w:rsidRPr="000E74D6" w:rsidRDefault="00000000" w:rsidP="002248DE">
            <w:pPr>
              <w:widowControl w:val="0"/>
              <w:spacing w:before="120" w:after="0" w:line="276" w:lineRule="auto"/>
              <w:jc w:val="center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  <w:r w:rsidRPr="000E74D6"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  <w:t>Dochód na osobę % kryterium dochodowego uprawniającego do świadczeń z pomocy społecznej wg art. 8 ustawy o pomocy społecznej dla osoby samotnej i osoby w rodzinie</w:t>
            </w:r>
          </w:p>
          <w:p w14:paraId="26A9FFD0" w14:textId="77777777" w:rsidR="00F3695E" w:rsidRPr="000E74D6" w:rsidRDefault="00F3695E" w:rsidP="002248DE">
            <w:pPr>
              <w:widowControl w:val="0"/>
              <w:spacing w:before="120" w:after="0" w:line="276" w:lineRule="auto"/>
              <w:jc w:val="center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43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78D47" w14:textId="77777777" w:rsidR="00F3695E" w:rsidRPr="000E74D6" w:rsidRDefault="00000000" w:rsidP="002248DE">
            <w:pPr>
              <w:widowControl w:val="0"/>
              <w:spacing w:before="120" w:line="276" w:lineRule="auto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  <w:r w:rsidRPr="000E74D6"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  <w:t xml:space="preserve">Wskaźnik odpłatności ustalony od wartości za 1 godzinę usług </w:t>
            </w:r>
          </w:p>
        </w:tc>
      </w:tr>
      <w:tr w:rsidR="00F3695E" w:rsidRPr="000E74D6" w14:paraId="10517265" w14:textId="77777777">
        <w:trPr>
          <w:trHeight w:val="1057"/>
        </w:trPr>
        <w:tc>
          <w:tcPr>
            <w:tcW w:w="5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FFFFFF"/>
          </w:tcPr>
          <w:p w14:paraId="04331454" w14:textId="77777777" w:rsidR="00F3695E" w:rsidRPr="000E74D6" w:rsidRDefault="00F3695E" w:rsidP="002248DE">
            <w:pPr>
              <w:widowControl w:val="0"/>
              <w:spacing w:before="120" w:after="0" w:line="276" w:lineRule="auto"/>
              <w:jc w:val="center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42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369F9436" w14:textId="77777777" w:rsidR="00F3695E" w:rsidRPr="000E74D6" w:rsidRDefault="00F3695E" w:rsidP="002248DE">
            <w:pPr>
              <w:widowControl w:val="0"/>
              <w:spacing w:before="120" w:after="0" w:line="276" w:lineRule="auto"/>
              <w:jc w:val="center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2" w:space="0" w:color="000001"/>
              <w:left w:val="single" w:sz="4" w:space="0" w:color="000000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305B037" w14:textId="77777777" w:rsidR="00F3695E" w:rsidRPr="000E74D6" w:rsidRDefault="00000000" w:rsidP="002248DE">
            <w:pPr>
              <w:widowControl w:val="0"/>
              <w:spacing w:before="120" w:after="0" w:line="276" w:lineRule="auto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  <w:r w:rsidRPr="000E74D6"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  <w:t>dla osoby samotnie gospodarującej</w:t>
            </w:r>
          </w:p>
        </w:tc>
        <w:tc>
          <w:tcPr>
            <w:tcW w:w="22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2C45E43B" w14:textId="77777777" w:rsidR="00F3695E" w:rsidRPr="000E74D6" w:rsidRDefault="00000000" w:rsidP="002248DE">
            <w:pPr>
              <w:widowControl w:val="0"/>
              <w:spacing w:before="120" w:after="0" w:line="276" w:lineRule="auto"/>
              <w:jc w:val="center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  <w:r w:rsidRPr="000E74D6"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  <w:t>dla osoby w rodzinie</w:t>
            </w:r>
          </w:p>
        </w:tc>
      </w:tr>
      <w:tr w:rsidR="00F3695E" w:rsidRPr="000E74D6" w14:paraId="6D9DE262" w14:textId="77777777">
        <w:trPr>
          <w:trHeight w:val="686"/>
        </w:trPr>
        <w:tc>
          <w:tcPr>
            <w:tcW w:w="5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F9E40B2" w14:textId="77777777" w:rsidR="00F3695E" w:rsidRPr="000E74D6" w:rsidRDefault="00000000" w:rsidP="002248DE">
            <w:pPr>
              <w:widowControl w:val="0"/>
              <w:spacing w:before="120" w:after="0" w:line="276" w:lineRule="auto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  <w:r w:rsidRPr="000E74D6"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524A264" w14:textId="77777777" w:rsidR="00F3695E" w:rsidRPr="000E74D6" w:rsidRDefault="00000000" w:rsidP="002248DE">
            <w:pPr>
              <w:widowControl w:val="0"/>
              <w:spacing w:before="120" w:after="0" w:line="276" w:lineRule="auto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  <w:r w:rsidRPr="000E74D6"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  <w:t>Do 100 %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97692DF" w14:textId="77777777" w:rsidR="00F3695E" w:rsidRPr="000E74D6" w:rsidRDefault="00000000" w:rsidP="002248DE">
            <w:pPr>
              <w:widowControl w:val="0"/>
              <w:spacing w:before="120" w:after="0" w:line="276" w:lineRule="auto"/>
              <w:jc w:val="center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  <w:r w:rsidRPr="000E74D6"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  <w:t>nieodpłatnie</w:t>
            </w:r>
          </w:p>
        </w:tc>
        <w:tc>
          <w:tcPr>
            <w:tcW w:w="22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14ED45DD" w14:textId="77777777" w:rsidR="00F3695E" w:rsidRPr="000E74D6" w:rsidRDefault="00000000" w:rsidP="002248DE">
            <w:pPr>
              <w:widowControl w:val="0"/>
              <w:spacing w:before="120" w:after="0" w:line="276" w:lineRule="auto"/>
              <w:jc w:val="center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  <w:r w:rsidRPr="000E74D6"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  <w:t>nieodpłatnie</w:t>
            </w:r>
          </w:p>
        </w:tc>
      </w:tr>
      <w:tr w:rsidR="00F3695E" w:rsidRPr="000E74D6" w14:paraId="07E51935" w14:textId="77777777">
        <w:trPr>
          <w:trHeight w:val="686"/>
        </w:trPr>
        <w:tc>
          <w:tcPr>
            <w:tcW w:w="5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D02C528" w14:textId="77777777" w:rsidR="00F3695E" w:rsidRPr="000E74D6" w:rsidRDefault="00000000" w:rsidP="002248DE">
            <w:pPr>
              <w:widowControl w:val="0"/>
              <w:spacing w:before="120" w:after="0" w:line="276" w:lineRule="auto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  <w:r w:rsidRPr="000E74D6"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E527D9A" w14:textId="77777777" w:rsidR="00F3695E" w:rsidRPr="000E74D6" w:rsidRDefault="00000000" w:rsidP="002248DE">
            <w:pPr>
              <w:widowControl w:val="0"/>
              <w:spacing w:before="120" w:after="0" w:line="276" w:lineRule="auto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  <w:r w:rsidRPr="000E74D6"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  <w:t>Powyżej 100 % do 150 %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DA95044" w14:textId="77777777" w:rsidR="00F3695E" w:rsidRPr="000E74D6" w:rsidRDefault="00000000" w:rsidP="002248DE">
            <w:pPr>
              <w:widowControl w:val="0"/>
              <w:spacing w:before="120" w:after="0" w:line="276" w:lineRule="auto"/>
              <w:jc w:val="center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  <w:r w:rsidRPr="000E74D6"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  <w:t>4%</w:t>
            </w:r>
          </w:p>
        </w:tc>
        <w:tc>
          <w:tcPr>
            <w:tcW w:w="22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737919F1" w14:textId="77777777" w:rsidR="00F3695E" w:rsidRPr="000E74D6" w:rsidRDefault="00000000" w:rsidP="002248DE">
            <w:pPr>
              <w:widowControl w:val="0"/>
              <w:spacing w:before="120" w:after="0" w:line="276" w:lineRule="auto"/>
              <w:jc w:val="center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  <w:r w:rsidRPr="000E74D6"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  <w:t>7%</w:t>
            </w:r>
          </w:p>
        </w:tc>
      </w:tr>
      <w:tr w:rsidR="00F3695E" w:rsidRPr="000E74D6" w14:paraId="7799F0F9" w14:textId="77777777">
        <w:trPr>
          <w:trHeight w:val="686"/>
        </w:trPr>
        <w:tc>
          <w:tcPr>
            <w:tcW w:w="5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B04B408" w14:textId="77777777" w:rsidR="00F3695E" w:rsidRPr="000E74D6" w:rsidRDefault="00000000" w:rsidP="002248DE">
            <w:pPr>
              <w:widowControl w:val="0"/>
              <w:spacing w:before="120" w:after="0" w:line="276" w:lineRule="auto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  <w:r w:rsidRPr="000E74D6"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E7B966E" w14:textId="77777777" w:rsidR="00F3695E" w:rsidRPr="000E74D6" w:rsidRDefault="00000000" w:rsidP="002248DE">
            <w:pPr>
              <w:widowControl w:val="0"/>
              <w:spacing w:before="120" w:after="0" w:line="276" w:lineRule="auto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  <w:r w:rsidRPr="000E74D6"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  <w:t>Powyżej 150 % do 175 %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6470028" w14:textId="77777777" w:rsidR="00F3695E" w:rsidRPr="000E74D6" w:rsidRDefault="00000000" w:rsidP="002248DE">
            <w:pPr>
              <w:widowControl w:val="0"/>
              <w:spacing w:before="120" w:after="0" w:line="276" w:lineRule="auto"/>
              <w:jc w:val="center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  <w:r w:rsidRPr="000E74D6"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  <w:t>7%</w:t>
            </w:r>
          </w:p>
        </w:tc>
        <w:tc>
          <w:tcPr>
            <w:tcW w:w="22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4CDDE4A8" w14:textId="77777777" w:rsidR="00F3695E" w:rsidRPr="000E74D6" w:rsidRDefault="00000000" w:rsidP="002248DE">
            <w:pPr>
              <w:widowControl w:val="0"/>
              <w:spacing w:before="120" w:after="0" w:line="276" w:lineRule="auto"/>
              <w:jc w:val="center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  <w:r w:rsidRPr="000E74D6"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  <w:t>10%</w:t>
            </w:r>
          </w:p>
        </w:tc>
      </w:tr>
      <w:tr w:rsidR="00F3695E" w:rsidRPr="000E74D6" w14:paraId="673CC30E" w14:textId="77777777">
        <w:trPr>
          <w:trHeight w:val="686"/>
        </w:trPr>
        <w:tc>
          <w:tcPr>
            <w:tcW w:w="5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7BE6888" w14:textId="77777777" w:rsidR="00F3695E" w:rsidRPr="000E74D6" w:rsidRDefault="00000000" w:rsidP="002248DE">
            <w:pPr>
              <w:widowControl w:val="0"/>
              <w:spacing w:before="120" w:after="0" w:line="276" w:lineRule="auto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  <w:r w:rsidRPr="000E74D6"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EBD0ECA" w14:textId="77777777" w:rsidR="00F3695E" w:rsidRPr="000E74D6" w:rsidRDefault="00000000" w:rsidP="002248DE">
            <w:pPr>
              <w:widowControl w:val="0"/>
              <w:spacing w:before="120" w:after="0" w:line="276" w:lineRule="auto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  <w:r w:rsidRPr="000E74D6"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  <w:t>Powyżej 175 % do 200 %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5ED05A5" w14:textId="77777777" w:rsidR="00F3695E" w:rsidRPr="000E74D6" w:rsidRDefault="00000000" w:rsidP="002248DE">
            <w:pPr>
              <w:widowControl w:val="0"/>
              <w:spacing w:before="120" w:after="0" w:line="276" w:lineRule="auto"/>
              <w:jc w:val="center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  <w:r w:rsidRPr="000E74D6"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  <w:t>10%</w:t>
            </w:r>
          </w:p>
        </w:tc>
        <w:tc>
          <w:tcPr>
            <w:tcW w:w="22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70FE4F80" w14:textId="77777777" w:rsidR="00F3695E" w:rsidRPr="000E74D6" w:rsidRDefault="00000000" w:rsidP="002248DE">
            <w:pPr>
              <w:widowControl w:val="0"/>
              <w:spacing w:before="120" w:after="0" w:line="276" w:lineRule="auto"/>
              <w:jc w:val="center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  <w:r w:rsidRPr="000E74D6"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  <w:t>15%</w:t>
            </w:r>
          </w:p>
        </w:tc>
      </w:tr>
      <w:tr w:rsidR="00F3695E" w:rsidRPr="000E74D6" w14:paraId="24B1E2A7" w14:textId="77777777">
        <w:trPr>
          <w:trHeight w:val="686"/>
        </w:trPr>
        <w:tc>
          <w:tcPr>
            <w:tcW w:w="5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113DD1C" w14:textId="77777777" w:rsidR="00F3695E" w:rsidRPr="000E74D6" w:rsidRDefault="00000000" w:rsidP="002248DE">
            <w:pPr>
              <w:widowControl w:val="0"/>
              <w:spacing w:before="120" w:after="0" w:line="276" w:lineRule="auto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  <w:r w:rsidRPr="000E74D6"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21639AA" w14:textId="77777777" w:rsidR="00F3695E" w:rsidRPr="000E74D6" w:rsidRDefault="00000000" w:rsidP="002248DE">
            <w:pPr>
              <w:widowControl w:val="0"/>
              <w:spacing w:before="120" w:after="0" w:line="276" w:lineRule="auto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  <w:r w:rsidRPr="000E74D6"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  <w:t>Powyżej 200 % do 250 %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9AEF4F6" w14:textId="77777777" w:rsidR="00F3695E" w:rsidRPr="000E74D6" w:rsidRDefault="00000000" w:rsidP="002248DE">
            <w:pPr>
              <w:widowControl w:val="0"/>
              <w:spacing w:before="120" w:after="0" w:line="276" w:lineRule="auto"/>
              <w:jc w:val="center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  <w:r w:rsidRPr="000E74D6"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  <w:t>15%</w:t>
            </w:r>
          </w:p>
        </w:tc>
        <w:tc>
          <w:tcPr>
            <w:tcW w:w="22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47F88923" w14:textId="77777777" w:rsidR="00F3695E" w:rsidRPr="000E74D6" w:rsidRDefault="00000000" w:rsidP="002248DE">
            <w:pPr>
              <w:widowControl w:val="0"/>
              <w:spacing w:before="120" w:after="0" w:line="276" w:lineRule="auto"/>
              <w:jc w:val="center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  <w:r w:rsidRPr="000E74D6"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  <w:t>25%</w:t>
            </w:r>
          </w:p>
        </w:tc>
      </w:tr>
      <w:tr w:rsidR="00F3695E" w:rsidRPr="000E74D6" w14:paraId="54681F1A" w14:textId="77777777">
        <w:trPr>
          <w:trHeight w:val="686"/>
        </w:trPr>
        <w:tc>
          <w:tcPr>
            <w:tcW w:w="5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750D976" w14:textId="77777777" w:rsidR="00F3695E" w:rsidRPr="000E74D6" w:rsidRDefault="00000000" w:rsidP="002248DE">
            <w:pPr>
              <w:widowControl w:val="0"/>
              <w:spacing w:before="120" w:after="0" w:line="276" w:lineRule="auto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  <w:r w:rsidRPr="000E74D6"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3B377EE" w14:textId="77777777" w:rsidR="00F3695E" w:rsidRPr="000E74D6" w:rsidRDefault="00000000" w:rsidP="002248DE">
            <w:pPr>
              <w:widowControl w:val="0"/>
              <w:spacing w:before="120" w:after="0" w:line="276" w:lineRule="auto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  <w:r w:rsidRPr="000E74D6"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  <w:t>Powyżej 250 % do 300 %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70CCD2A" w14:textId="77777777" w:rsidR="00F3695E" w:rsidRPr="000E74D6" w:rsidRDefault="00000000" w:rsidP="002248DE">
            <w:pPr>
              <w:widowControl w:val="0"/>
              <w:spacing w:before="120" w:after="0" w:line="276" w:lineRule="auto"/>
              <w:jc w:val="center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  <w:r w:rsidRPr="000E74D6"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  <w:t>25%</w:t>
            </w:r>
          </w:p>
        </w:tc>
        <w:tc>
          <w:tcPr>
            <w:tcW w:w="22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312786B8" w14:textId="77777777" w:rsidR="00F3695E" w:rsidRPr="000E74D6" w:rsidRDefault="00000000" w:rsidP="002248DE">
            <w:pPr>
              <w:widowControl w:val="0"/>
              <w:spacing w:before="120" w:after="0" w:line="276" w:lineRule="auto"/>
              <w:jc w:val="center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  <w:r w:rsidRPr="000E74D6"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  <w:t>35%</w:t>
            </w:r>
          </w:p>
        </w:tc>
      </w:tr>
      <w:tr w:rsidR="00F3695E" w:rsidRPr="000E74D6" w14:paraId="36D8987F" w14:textId="77777777">
        <w:trPr>
          <w:trHeight w:val="686"/>
        </w:trPr>
        <w:tc>
          <w:tcPr>
            <w:tcW w:w="5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97E159E" w14:textId="77777777" w:rsidR="00F3695E" w:rsidRPr="000E74D6" w:rsidRDefault="00000000" w:rsidP="002248DE">
            <w:pPr>
              <w:widowControl w:val="0"/>
              <w:spacing w:before="120" w:after="0" w:line="276" w:lineRule="auto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  <w:r w:rsidRPr="000E74D6"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5101AD4" w14:textId="77777777" w:rsidR="00F3695E" w:rsidRPr="000E74D6" w:rsidRDefault="00000000" w:rsidP="002248DE">
            <w:pPr>
              <w:widowControl w:val="0"/>
              <w:spacing w:before="120" w:after="0" w:line="276" w:lineRule="auto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  <w:r w:rsidRPr="000E74D6"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  <w:t>Powyżej 300 % do 350 %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5E1F4FB" w14:textId="77777777" w:rsidR="00F3695E" w:rsidRPr="000E74D6" w:rsidRDefault="00000000" w:rsidP="002248DE">
            <w:pPr>
              <w:widowControl w:val="0"/>
              <w:spacing w:before="120" w:after="0" w:line="276" w:lineRule="auto"/>
              <w:jc w:val="center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  <w:r w:rsidRPr="000E74D6"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  <w:t>35%</w:t>
            </w:r>
          </w:p>
        </w:tc>
        <w:tc>
          <w:tcPr>
            <w:tcW w:w="22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08802358" w14:textId="77777777" w:rsidR="00F3695E" w:rsidRPr="000E74D6" w:rsidRDefault="00000000" w:rsidP="002248DE">
            <w:pPr>
              <w:widowControl w:val="0"/>
              <w:spacing w:before="120" w:after="0" w:line="276" w:lineRule="auto"/>
              <w:jc w:val="center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  <w:r w:rsidRPr="000E74D6"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  <w:t>45%</w:t>
            </w:r>
          </w:p>
        </w:tc>
      </w:tr>
      <w:tr w:rsidR="00F3695E" w:rsidRPr="000E74D6" w14:paraId="4667DD0D" w14:textId="77777777">
        <w:trPr>
          <w:trHeight w:val="686"/>
        </w:trPr>
        <w:tc>
          <w:tcPr>
            <w:tcW w:w="5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E5F1C73" w14:textId="77777777" w:rsidR="00F3695E" w:rsidRPr="000E74D6" w:rsidRDefault="00000000" w:rsidP="002248DE">
            <w:pPr>
              <w:widowControl w:val="0"/>
              <w:spacing w:before="120" w:after="0" w:line="276" w:lineRule="auto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  <w:r w:rsidRPr="000E74D6"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  <w:lastRenderedPageBreak/>
              <w:t>8.</w:t>
            </w: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1D3393A" w14:textId="77777777" w:rsidR="00F3695E" w:rsidRPr="000E74D6" w:rsidRDefault="00000000" w:rsidP="002248DE">
            <w:pPr>
              <w:widowControl w:val="0"/>
              <w:spacing w:before="120" w:after="0" w:line="276" w:lineRule="auto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  <w:r w:rsidRPr="000E74D6"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  <w:t>Powyżej 350 % do 400 %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F472A8D" w14:textId="77777777" w:rsidR="00F3695E" w:rsidRPr="000E74D6" w:rsidRDefault="00000000" w:rsidP="002248DE">
            <w:pPr>
              <w:widowControl w:val="0"/>
              <w:spacing w:before="120" w:after="0" w:line="276" w:lineRule="auto"/>
              <w:jc w:val="center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  <w:r w:rsidRPr="000E74D6"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  <w:t>45%</w:t>
            </w:r>
          </w:p>
        </w:tc>
        <w:tc>
          <w:tcPr>
            <w:tcW w:w="22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1838642D" w14:textId="77777777" w:rsidR="00F3695E" w:rsidRPr="000E74D6" w:rsidRDefault="00000000" w:rsidP="002248DE">
            <w:pPr>
              <w:widowControl w:val="0"/>
              <w:spacing w:before="120" w:after="0" w:line="276" w:lineRule="auto"/>
              <w:jc w:val="center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  <w:r w:rsidRPr="000E74D6"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  <w:t>60%</w:t>
            </w:r>
          </w:p>
        </w:tc>
      </w:tr>
      <w:tr w:rsidR="00F3695E" w:rsidRPr="000E74D6" w14:paraId="74F9D214" w14:textId="77777777">
        <w:trPr>
          <w:trHeight w:val="686"/>
        </w:trPr>
        <w:tc>
          <w:tcPr>
            <w:tcW w:w="5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998193C" w14:textId="77777777" w:rsidR="00F3695E" w:rsidRPr="000E74D6" w:rsidRDefault="00000000" w:rsidP="002248DE">
            <w:pPr>
              <w:widowControl w:val="0"/>
              <w:spacing w:before="120" w:after="0" w:line="276" w:lineRule="auto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  <w:r w:rsidRPr="000E74D6"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B0CE0A5" w14:textId="77777777" w:rsidR="00F3695E" w:rsidRPr="000E74D6" w:rsidRDefault="00000000" w:rsidP="002248DE">
            <w:pPr>
              <w:widowControl w:val="0"/>
              <w:spacing w:before="120" w:after="0" w:line="276" w:lineRule="auto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  <w:r w:rsidRPr="000E74D6"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  <w:t>Powyżej 400 % do 500 %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8130F94" w14:textId="77777777" w:rsidR="00F3695E" w:rsidRPr="000E74D6" w:rsidRDefault="00000000" w:rsidP="002248DE">
            <w:pPr>
              <w:widowControl w:val="0"/>
              <w:spacing w:before="120" w:after="0" w:line="276" w:lineRule="auto"/>
              <w:jc w:val="center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  <w:r w:rsidRPr="000E74D6"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  <w:t>60%</w:t>
            </w:r>
          </w:p>
        </w:tc>
        <w:tc>
          <w:tcPr>
            <w:tcW w:w="22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4E49817F" w14:textId="77777777" w:rsidR="00F3695E" w:rsidRPr="000E74D6" w:rsidRDefault="00000000" w:rsidP="002248DE">
            <w:pPr>
              <w:widowControl w:val="0"/>
              <w:spacing w:before="120" w:after="0" w:line="276" w:lineRule="auto"/>
              <w:jc w:val="center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  <w:r w:rsidRPr="000E74D6"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  <w:t>75%</w:t>
            </w:r>
          </w:p>
        </w:tc>
      </w:tr>
      <w:tr w:rsidR="00F3695E" w:rsidRPr="000E74D6" w14:paraId="79E64FCB" w14:textId="77777777">
        <w:trPr>
          <w:trHeight w:val="686"/>
        </w:trPr>
        <w:tc>
          <w:tcPr>
            <w:tcW w:w="5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EFD4D84" w14:textId="77777777" w:rsidR="00F3695E" w:rsidRPr="000E74D6" w:rsidRDefault="00000000" w:rsidP="002248DE">
            <w:pPr>
              <w:widowControl w:val="0"/>
              <w:spacing w:before="120" w:after="0" w:line="276" w:lineRule="auto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  <w:r w:rsidRPr="000E74D6"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6938B5B" w14:textId="77777777" w:rsidR="00F3695E" w:rsidRPr="000E74D6" w:rsidRDefault="00000000" w:rsidP="002248DE">
            <w:pPr>
              <w:widowControl w:val="0"/>
              <w:spacing w:before="120" w:after="0" w:line="276" w:lineRule="auto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  <w:r w:rsidRPr="000E74D6"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  <w:t>Powyżej 500 % do 600 %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5560A10" w14:textId="77777777" w:rsidR="00F3695E" w:rsidRPr="000E74D6" w:rsidRDefault="00000000" w:rsidP="002248DE">
            <w:pPr>
              <w:widowControl w:val="0"/>
              <w:spacing w:before="120" w:after="0" w:line="276" w:lineRule="auto"/>
              <w:jc w:val="center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  <w:r w:rsidRPr="000E74D6"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  <w:t>75%</w:t>
            </w:r>
          </w:p>
        </w:tc>
        <w:tc>
          <w:tcPr>
            <w:tcW w:w="22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70CCBFC8" w14:textId="77777777" w:rsidR="00F3695E" w:rsidRPr="000E74D6" w:rsidRDefault="00000000" w:rsidP="002248DE">
            <w:pPr>
              <w:widowControl w:val="0"/>
              <w:spacing w:before="120" w:after="0" w:line="276" w:lineRule="auto"/>
              <w:jc w:val="center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  <w:r w:rsidRPr="000E74D6"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  <w:t>80%</w:t>
            </w:r>
          </w:p>
        </w:tc>
      </w:tr>
      <w:tr w:rsidR="00F3695E" w:rsidRPr="000E74D6" w14:paraId="36DA7AC2" w14:textId="77777777">
        <w:trPr>
          <w:trHeight w:val="686"/>
        </w:trPr>
        <w:tc>
          <w:tcPr>
            <w:tcW w:w="5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3900D91" w14:textId="77777777" w:rsidR="00F3695E" w:rsidRPr="000E74D6" w:rsidRDefault="00000000" w:rsidP="002248DE">
            <w:pPr>
              <w:widowControl w:val="0"/>
              <w:spacing w:before="120" w:after="0" w:line="276" w:lineRule="auto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  <w:r w:rsidRPr="000E74D6"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8654008" w14:textId="77777777" w:rsidR="00F3695E" w:rsidRPr="000E74D6" w:rsidRDefault="00000000" w:rsidP="002248DE">
            <w:pPr>
              <w:widowControl w:val="0"/>
              <w:spacing w:before="120" w:after="0" w:line="276" w:lineRule="auto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  <w:r w:rsidRPr="000E74D6"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  <w:t>Powyżej 600 %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F5629E6" w14:textId="77777777" w:rsidR="00F3695E" w:rsidRPr="000E74D6" w:rsidRDefault="00000000" w:rsidP="002248DE">
            <w:pPr>
              <w:widowControl w:val="0"/>
              <w:spacing w:before="120" w:after="0" w:line="276" w:lineRule="auto"/>
              <w:jc w:val="center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  <w:r w:rsidRPr="000E74D6"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  <w:t>100%</w:t>
            </w:r>
          </w:p>
        </w:tc>
        <w:tc>
          <w:tcPr>
            <w:tcW w:w="22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0"/>
            </w:tcBorders>
            <w:shd w:val="clear" w:color="auto" w:fill="FFFFFF"/>
            <w:tcMar>
              <w:left w:w="0" w:type="dxa"/>
            </w:tcMar>
          </w:tcPr>
          <w:p w14:paraId="27926932" w14:textId="77777777" w:rsidR="00F3695E" w:rsidRPr="000E74D6" w:rsidRDefault="00000000" w:rsidP="002248DE">
            <w:pPr>
              <w:widowControl w:val="0"/>
              <w:spacing w:before="120" w:after="0" w:line="276" w:lineRule="auto"/>
              <w:jc w:val="center"/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</w:pPr>
            <w:r w:rsidRPr="000E74D6">
              <w:rPr>
                <w:rFonts w:eastAsia="Times New Roman" w:cstheme="minorHAnsi"/>
                <w:color w:val="00000A"/>
                <w:sz w:val="24"/>
                <w:szCs w:val="24"/>
                <w:lang w:eastAsia="zh-CN"/>
              </w:rPr>
              <w:t>100%</w:t>
            </w:r>
          </w:p>
        </w:tc>
      </w:tr>
    </w:tbl>
    <w:p w14:paraId="76A424E9" w14:textId="77777777" w:rsidR="00F3695E" w:rsidRPr="000E74D6" w:rsidRDefault="00F3695E" w:rsidP="002248DE">
      <w:pPr>
        <w:spacing w:before="120" w:line="276" w:lineRule="auto"/>
        <w:jc w:val="both"/>
        <w:rPr>
          <w:rFonts w:cstheme="minorHAnsi"/>
          <w:sz w:val="24"/>
          <w:szCs w:val="24"/>
        </w:rPr>
      </w:pPr>
    </w:p>
    <w:p w14:paraId="4DB56C11" w14:textId="43FF9D39" w:rsidR="002248DE" w:rsidRDefault="00000000" w:rsidP="002248DE">
      <w:pPr>
        <w:spacing w:before="120" w:line="276" w:lineRule="auto"/>
        <w:jc w:val="center"/>
        <w:rPr>
          <w:rFonts w:cstheme="minorHAnsi"/>
          <w:sz w:val="24"/>
          <w:szCs w:val="24"/>
        </w:rPr>
      </w:pPr>
      <w:r w:rsidRPr="000E74D6">
        <w:rPr>
          <w:rFonts w:cstheme="minorHAnsi"/>
          <w:b/>
          <w:bCs/>
          <w:sz w:val="24"/>
          <w:szCs w:val="24"/>
        </w:rPr>
        <w:t>§ 11.</w:t>
      </w:r>
    </w:p>
    <w:p w14:paraId="122906F1" w14:textId="02E95D85" w:rsidR="00F3695E" w:rsidRPr="000E74D6" w:rsidRDefault="00000000" w:rsidP="002248DE">
      <w:pPr>
        <w:spacing w:before="120" w:line="276" w:lineRule="auto"/>
        <w:jc w:val="both"/>
        <w:rPr>
          <w:rFonts w:cstheme="minorHAnsi"/>
          <w:sz w:val="24"/>
          <w:szCs w:val="24"/>
        </w:rPr>
      </w:pPr>
      <w:r w:rsidRPr="000E74D6">
        <w:rPr>
          <w:rFonts w:cstheme="minorHAnsi"/>
          <w:sz w:val="24"/>
          <w:szCs w:val="24"/>
        </w:rPr>
        <w:t>Podstawą do naliczenia opłaty za usługi opiekuńcze lub specjalistyczne usługi opiekuńcze stanowi karta realizacji usług opiekuńczych potwierdzona podpisem świadczeniobiorcy</w:t>
      </w:r>
      <w:r w:rsidRPr="000E74D6">
        <w:rPr>
          <w:rFonts w:cstheme="minorHAnsi"/>
          <w:color w:val="FF0000"/>
          <w:sz w:val="24"/>
          <w:szCs w:val="24"/>
        </w:rPr>
        <w:t xml:space="preserve"> </w:t>
      </w:r>
      <w:r w:rsidRPr="000E74D6">
        <w:rPr>
          <w:rFonts w:cstheme="minorHAnsi"/>
          <w:sz w:val="24"/>
          <w:szCs w:val="24"/>
        </w:rPr>
        <w:t>lub członka rodziny.</w:t>
      </w:r>
    </w:p>
    <w:p w14:paraId="5AFBB54F" w14:textId="05677524" w:rsidR="002248DE" w:rsidRDefault="00000000" w:rsidP="002248DE">
      <w:pPr>
        <w:spacing w:before="120" w:line="276" w:lineRule="auto"/>
        <w:jc w:val="center"/>
        <w:rPr>
          <w:rFonts w:cstheme="minorHAnsi"/>
          <w:sz w:val="24"/>
          <w:szCs w:val="24"/>
        </w:rPr>
      </w:pPr>
      <w:r w:rsidRPr="000E74D6">
        <w:rPr>
          <w:rFonts w:cstheme="minorHAnsi"/>
          <w:b/>
          <w:bCs/>
          <w:sz w:val="24"/>
          <w:szCs w:val="24"/>
        </w:rPr>
        <w:t>§ 12.</w:t>
      </w:r>
    </w:p>
    <w:p w14:paraId="4AFC0E9C" w14:textId="403F6468" w:rsidR="00F3695E" w:rsidRPr="000E74D6" w:rsidRDefault="00000000" w:rsidP="002248DE">
      <w:pPr>
        <w:spacing w:before="120" w:line="276" w:lineRule="auto"/>
        <w:jc w:val="both"/>
        <w:rPr>
          <w:rFonts w:cstheme="minorHAnsi"/>
          <w:sz w:val="24"/>
          <w:szCs w:val="24"/>
        </w:rPr>
      </w:pPr>
      <w:r w:rsidRPr="000E74D6">
        <w:rPr>
          <w:rFonts w:cstheme="minorHAnsi"/>
          <w:sz w:val="24"/>
          <w:szCs w:val="24"/>
        </w:rPr>
        <w:t>W przypadku czasowej niemożności korzystania z usług opiekuńczych lub specjalistycznych usług opiekuńczych przez świadczeniobiorcę</w:t>
      </w:r>
      <w:r w:rsidRPr="000E74D6">
        <w:rPr>
          <w:rFonts w:cstheme="minorHAnsi"/>
          <w:color w:val="FF0000"/>
          <w:sz w:val="24"/>
          <w:szCs w:val="24"/>
        </w:rPr>
        <w:t xml:space="preserve"> </w:t>
      </w:r>
      <w:r w:rsidRPr="000E74D6">
        <w:rPr>
          <w:rFonts w:cstheme="minorHAnsi"/>
          <w:sz w:val="24"/>
          <w:szCs w:val="24"/>
        </w:rPr>
        <w:t>z powodu jego nieobecności (np. pobyt w szpitalu, wyjazd do rodziny) nie pobiera się opłat za okres, w którym faktycznie usługi nie były świadczone. Fakt nieświadczenia usług z powodu nieobecności świadczeniobiorcy</w:t>
      </w:r>
      <w:r w:rsidRPr="000E74D6">
        <w:rPr>
          <w:rFonts w:cstheme="minorHAnsi"/>
          <w:color w:val="FF0000"/>
          <w:sz w:val="24"/>
          <w:szCs w:val="24"/>
        </w:rPr>
        <w:t xml:space="preserve"> </w:t>
      </w:r>
      <w:r w:rsidRPr="000E74D6">
        <w:rPr>
          <w:rFonts w:cstheme="minorHAnsi"/>
          <w:sz w:val="24"/>
          <w:szCs w:val="24"/>
        </w:rPr>
        <w:t>powinien być zgłoszony pisemnie lub telefonicznie do Ośrodka Pomocy Społecznej w Chorzelach.</w:t>
      </w:r>
    </w:p>
    <w:p w14:paraId="08096EFB" w14:textId="6CF34D1A" w:rsidR="002248DE" w:rsidRDefault="00000000" w:rsidP="002248DE">
      <w:pPr>
        <w:spacing w:before="120" w:line="276" w:lineRule="auto"/>
        <w:jc w:val="center"/>
        <w:rPr>
          <w:rFonts w:cstheme="minorHAnsi"/>
          <w:sz w:val="24"/>
          <w:szCs w:val="24"/>
        </w:rPr>
      </w:pPr>
      <w:r w:rsidRPr="000E74D6">
        <w:rPr>
          <w:rFonts w:cstheme="minorHAnsi"/>
          <w:b/>
          <w:bCs/>
          <w:sz w:val="24"/>
          <w:szCs w:val="24"/>
        </w:rPr>
        <w:t>§ 13.</w:t>
      </w:r>
    </w:p>
    <w:p w14:paraId="42C96651" w14:textId="6D058698" w:rsidR="00F3695E" w:rsidRPr="000E74D6" w:rsidRDefault="00000000" w:rsidP="002248DE">
      <w:pPr>
        <w:spacing w:before="120" w:line="276" w:lineRule="auto"/>
        <w:jc w:val="both"/>
        <w:rPr>
          <w:rFonts w:cstheme="minorHAnsi"/>
          <w:sz w:val="24"/>
          <w:szCs w:val="24"/>
        </w:rPr>
      </w:pPr>
      <w:r w:rsidRPr="000E74D6">
        <w:rPr>
          <w:rFonts w:cstheme="minorHAnsi"/>
          <w:sz w:val="24"/>
          <w:szCs w:val="24"/>
        </w:rPr>
        <w:t>Odpłatność za usługi opiekuńcze lub specjalistyczne usługi opiekuńcze należy wnosić na konto bankowe Ośrodka Pomocy Społecznej w Chorzelach do 15-tego dnia każdego miesiąca następującego, po miesiącu w którym wykonano usługi.</w:t>
      </w:r>
    </w:p>
    <w:p w14:paraId="0CC05F2A" w14:textId="4B0F9657" w:rsidR="002248DE" w:rsidRDefault="00000000" w:rsidP="002248DE">
      <w:pPr>
        <w:spacing w:before="120" w:line="276" w:lineRule="auto"/>
        <w:jc w:val="center"/>
        <w:rPr>
          <w:rFonts w:cstheme="minorHAnsi"/>
          <w:sz w:val="24"/>
          <w:szCs w:val="24"/>
        </w:rPr>
      </w:pPr>
      <w:r w:rsidRPr="000E74D6">
        <w:rPr>
          <w:rFonts w:cstheme="minorHAnsi"/>
          <w:b/>
          <w:bCs/>
          <w:sz w:val="24"/>
          <w:szCs w:val="24"/>
        </w:rPr>
        <w:t>§ 14.</w:t>
      </w:r>
    </w:p>
    <w:p w14:paraId="4366FDA1" w14:textId="4CE1C7F2" w:rsidR="00F3695E" w:rsidRPr="000E74D6" w:rsidRDefault="00000000" w:rsidP="002248DE">
      <w:pPr>
        <w:spacing w:before="120" w:line="276" w:lineRule="auto"/>
        <w:jc w:val="both"/>
        <w:rPr>
          <w:rFonts w:cstheme="minorHAnsi"/>
          <w:sz w:val="24"/>
          <w:szCs w:val="24"/>
        </w:rPr>
      </w:pPr>
      <w:r w:rsidRPr="000E74D6">
        <w:rPr>
          <w:rFonts w:cstheme="minorHAnsi"/>
          <w:sz w:val="24"/>
          <w:szCs w:val="24"/>
        </w:rPr>
        <w:t>W szczególnie uzasadnionych przypadkach osoba zobowiązana do ponoszenia odpłatności za usługi opiekuńcze lub specjalistyczne usługi opiekuńcze może na wniosek zostać zwolniona częściowo lub całkowicie z ponoszonych opłat.</w:t>
      </w:r>
    </w:p>
    <w:p w14:paraId="611CD8E9" w14:textId="77777777" w:rsidR="00F3695E" w:rsidRPr="000E74D6" w:rsidRDefault="00000000" w:rsidP="002248DE">
      <w:pPr>
        <w:spacing w:before="120" w:line="276" w:lineRule="auto"/>
        <w:jc w:val="both"/>
        <w:rPr>
          <w:rFonts w:cstheme="minorHAnsi"/>
          <w:sz w:val="24"/>
          <w:szCs w:val="24"/>
        </w:rPr>
      </w:pPr>
      <w:r w:rsidRPr="000E74D6">
        <w:rPr>
          <w:rFonts w:cstheme="minorHAnsi"/>
          <w:sz w:val="24"/>
          <w:szCs w:val="24"/>
        </w:rPr>
        <w:t>1. Całkowite zwolnienie z ponoszonych opłat za usługi opiekuńcze lub specjalistyczne usługi opiekuńcze przysługuje w przypadku:</w:t>
      </w:r>
    </w:p>
    <w:p w14:paraId="2ABA512A" w14:textId="77777777" w:rsidR="00F3695E" w:rsidRPr="000E74D6" w:rsidRDefault="00000000" w:rsidP="002248D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cstheme="minorHAnsi"/>
          <w:sz w:val="24"/>
          <w:szCs w:val="24"/>
        </w:rPr>
      </w:pPr>
      <w:r w:rsidRPr="000E74D6">
        <w:rPr>
          <w:rFonts w:cstheme="minorHAnsi"/>
          <w:sz w:val="24"/>
          <w:szCs w:val="24"/>
        </w:rPr>
        <w:t>konieczności ponoszenia opłat za członka rodziny umieszczonego w jednostce organizacyjnej pomocy społecznej, placówce wychowawczej, lub rehabilitacyjnej, w domu pomocy społecznej lub rodzinie zastępczej – po przedstawieniu potwierdzeń dokonywania odpłatności, oraz gdy ponoszone koszty znacząco pogarszają sytuację dochodową rodziny,</w:t>
      </w:r>
    </w:p>
    <w:p w14:paraId="48C88F06" w14:textId="77777777" w:rsidR="00F3695E" w:rsidRPr="000E74D6" w:rsidRDefault="00000000" w:rsidP="002248D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cstheme="minorHAnsi"/>
          <w:sz w:val="24"/>
          <w:szCs w:val="24"/>
        </w:rPr>
      </w:pPr>
      <w:r w:rsidRPr="000E74D6">
        <w:rPr>
          <w:rFonts w:cstheme="minorHAnsi"/>
          <w:sz w:val="24"/>
          <w:szCs w:val="24"/>
        </w:rPr>
        <w:t>wystąpiło zdarzenie losowe lub klęska żywiołowa, powodujące znaczne, udokumentowane straty materialne u świadczeniobiorcy lub jego rodziny, z którą prowadzi wspólne gospodarstwo domowe,</w:t>
      </w:r>
    </w:p>
    <w:p w14:paraId="5123C00E" w14:textId="77777777" w:rsidR="00F3695E" w:rsidRPr="000E74D6" w:rsidRDefault="00000000" w:rsidP="002248D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cstheme="minorHAnsi"/>
          <w:sz w:val="24"/>
          <w:szCs w:val="24"/>
        </w:rPr>
      </w:pPr>
      <w:r w:rsidRPr="000E74D6">
        <w:rPr>
          <w:rFonts w:cstheme="minorHAnsi"/>
          <w:sz w:val="24"/>
          <w:szCs w:val="24"/>
        </w:rPr>
        <w:t>w przypadku ponoszenia opłat za więcej niż jeden rodzaj usług,</w:t>
      </w:r>
    </w:p>
    <w:p w14:paraId="638BC1FC" w14:textId="77777777" w:rsidR="00F3695E" w:rsidRPr="000E74D6" w:rsidRDefault="00000000" w:rsidP="002248D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cstheme="minorHAnsi"/>
          <w:sz w:val="24"/>
          <w:szCs w:val="24"/>
        </w:rPr>
      </w:pPr>
      <w:r w:rsidRPr="000E74D6">
        <w:rPr>
          <w:rFonts w:cstheme="minorHAnsi"/>
          <w:sz w:val="24"/>
          <w:szCs w:val="24"/>
        </w:rPr>
        <w:lastRenderedPageBreak/>
        <w:t>w przypadku ponoszenia opłat za usługi opiekuńcze za więcej niż jedną osobę w gospodarstwie domowym.</w:t>
      </w:r>
    </w:p>
    <w:p w14:paraId="039DC5C7" w14:textId="77777777" w:rsidR="00F3695E" w:rsidRPr="000E74D6" w:rsidRDefault="00000000" w:rsidP="002248DE">
      <w:pPr>
        <w:spacing w:before="120" w:line="276" w:lineRule="auto"/>
        <w:jc w:val="both"/>
        <w:rPr>
          <w:rFonts w:cstheme="minorHAnsi"/>
          <w:sz w:val="24"/>
          <w:szCs w:val="24"/>
        </w:rPr>
      </w:pPr>
      <w:r w:rsidRPr="000E74D6">
        <w:rPr>
          <w:rFonts w:cstheme="minorHAnsi"/>
          <w:sz w:val="24"/>
          <w:szCs w:val="24"/>
        </w:rPr>
        <w:t>2. Częściowe zwolnienie z ponoszonych opłat za usługi opiekuńcze lub specjalistyczne usługi opiekuńcze przysługuje w przypadku gdy:</w:t>
      </w:r>
    </w:p>
    <w:p w14:paraId="56B925FA" w14:textId="77777777" w:rsidR="00F3695E" w:rsidRPr="000E74D6" w:rsidRDefault="00000000" w:rsidP="002248DE">
      <w:pPr>
        <w:pStyle w:val="Akapitzlist"/>
        <w:numPr>
          <w:ilvl w:val="0"/>
          <w:numId w:val="2"/>
        </w:numPr>
        <w:spacing w:before="120" w:line="276" w:lineRule="auto"/>
        <w:jc w:val="both"/>
        <w:rPr>
          <w:rFonts w:cstheme="minorHAnsi"/>
          <w:sz w:val="24"/>
          <w:szCs w:val="24"/>
        </w:rPr>
      </w:pPr>
      <w:r w:rsidRPr="000E74D6">
        <w:rPr>
          <w:rFonts w:cstheme="minorHAnsi"/>
          <w:sz w:val="24"/>
          <w:szCs w:val="24"/>
        </w:rPr>
        <w:t>istnieje konieczność ponoszenia stałych, niezbędnych i uzasadnionych wydatków, których wysokość zagraża prawidłowej egzystencji świadczeniobiorcy lub jego rodziny, z którą prowadzi wspólne gospodarstwo domowe, związanych z:</w:t>
      </w:r>
    </w:p>
    <w:p w14:paraId="17F2DAFD" w14:textId="77777777" w:rsidR="00F3695E" w:rsidRPr="000E74D6" w:rsidRDefault="00000000" w:rsidP="002248DE">
      <w:pPr>
        <w:pStyle w:val="Akapitzlist"/>
        <w:numPr>
          <w:ilvl w:val="0"/>
          <w:numId w:val="4"/>
        </w:numPr>
        <w:spacing w:before="120" w:line="276" w:lineRule="auto"/>
        <w:jc w:val="both"/>
        <w:rPr>
          <w:rFonts w:cstheme="minorHAnsi"/>
          <w:sz w:val="24"/>
          <w:szCs w:val="24"/>
        </w:rPr>
      </w:pPr>
      <w:r w:rsidRPr="000E74D6">
        <w:rPr>
          <w:rFonts w:cstheme="minorHAnsi"/>
          <w:sz w:val="24"/>
          <w:szCs w:val="24"/>
        </w:rPr>
        <w:t>potrzebami mieszkaniowymi,</w:t>
      </w:r>
    </w:p>
    <w:p w14:paraId="5AC7D65A" w14:textId="77777777" w:rsidR="00F3695E" w:rsidRPr="000E74D6" w:rsidRDefault="00000000" w:rsidP="002248DE">
      <w:pPr>
        <w:pStyle w:val="Akapitzlist"/>
        <w:numPr>
          <w:ilvl w:val="0"/>
          <w:numId w:val="4"/>
        </w:numPr>
        <w:spacing w:before="120" w:line="276" w:lineRule="auto"/>
        <w:jc w:val="both"/>
        <w:rPr>
          <w:rFonts w:cstheme="minorHAnsi"/>
          <w:sz w:val="24"/>
          <w:szCs w:val="24"/>
        </w:rPr>
      </w:pPr>
      <w:r w:rsidRPr="000E74D6">
        <w:rPr>
          <w:rFonts w:cstheme="minorHAnsi"/>
          <w:sz w:val="24"/>
          <w:szCs w:val="24"/>
        </w:rPr>
        <w:t>przewlekłym leczeniem, w tym z koniecznością rehabilitacji,</w:t>
      </w:r>
    </w:p>
    <w:p w14:paraId="3F772E9C" w14:textId="77777777" w:rsidR="00F3695E" w:rsidRPr="000E74D6" w:rsidRDefault="00000000" w:rsidP="002248DE">
      <w:pPr>
        <w:pStyle w:val="Akapitzlist"/>
        <w:numPr>
          <w:ilvl w:val="0"/>
          <w:numId w:val="4"/>
        </w:numPr>
        <w:spacing w:before="120" w:line="276" w:lineRule="auto"/>
        <w:jc w:val="both"/>
        <w:rPr>
          <w:rFonts w:cstheme="minorHAnsi"/>
          <w:sz w:val="24"/>
          <w:szCs w:val="24"/>
        </w:rPr>
      </w:pPr>
      <w:r w:rsidRPr="000E74D6">
        <w:rPr>
          <w:rFonts w:cstheme="minorHAnsi"/>
          <w:sz w:val="24"/>
          <w:szCs w:val="24"/>
        </w:rPr>
        <w:t xml:space="preserve">zakupem lekarstw, środków higienicznych lub pielęgnacyjnych, </w:t>
      </w:r>
    </w:p>
    <w:p w14:paraId="5A43F06F" w14:textId="77777777" w:rsidR="00F3695E" w:rsidRPr="000E74D6" w:rsidRDefault="00000000" w:rsidP="002248DE">
      <w:pPr>
        <w:pStyle w:val="Akapitzlist"/>
        <w:numPr>
          <w:ilvl w:val="0"/>
          <w:numId w:val="4"/>
        </w:numPr>
        <w:spacing w:before="120" w:line="276" w:lineRule="auto"/>
        <w:jc w:val="both"/>
        <w:rPr>
          <w:rFonts w:cstheme="minorHAnsi"/>
          <w:sz w:val="24"/>
          <w:szCs w:val="24"/>
        </w:rPr>
      </w:pPr>
      <w:r w:rsidRPr="000E74D6">
        <w:rPr>
          <w:rFonts w:cstheme="minorHAnsi"/>
          <w:sz w:val="24"/>
          <w:szCs w:val="24"/>
        </w:rPr>
        <w:t>stosowaniem specjalistycznej diety.</w:t>
      </w:r>
    </w:p>
    <w:p w14:paraId="7B6BC363" w14:textId="77777777" w:rsidR="00F3695E" w:rsidRPr="000E74D6" w:rsidRDefault="00000000" w:rsidP="002248DE">
      <w:pPr>
        <w:pStyle w:val="Akapitzlist"/>
        <w:spacing w:before="120" w:line="276" w:lineRule="auto"/>
        <w:ind w:left="0"/>
        <w:jc w:val="both"/>
        <w:rPr>
          <w:rFonts w:cstheme="minorHAnsi"/>
          <w:sz w:val="24"/>
          <w:szCs w:val="24"/>
          <w:lang w:eastAsia="ja-JP"/>
        </w:rPr>
      </w:pPr>
      <w:r w:rsidRPr="000E74D6">
        <w:rPr>
          <w:rFonts w:cstheme="minorHAnsi"/>
          <w:sz w:val="24"/>
          <w:szCs w:val="24"/>
        </w:rPr>
        <w:t xml:space="preserve">3. Decyzję o całkowitym lub częściowym zwolnieniu z odpłatności wydaje Dyrektor Ośrodka Pomocy Społecznej w Chorzelach na podstawie przeprowadzonego przez pracownika socjalnego wywiadu środowiskowego oraz dokumentów potwierdzających sytuację świadczeniobiorcy, o których mowa w </w:t>
      </w:r>
      <w:r w:rsidRPr="000E74D6">
        <w:rPr>
          <w:rFonts w:cstheme="minorHAnsi"/>
          <w:sz w:val="24"/>
          <w:szCs w:val="24"/>
          <w:lang w:eastAsia="ja-JP"/>
        </w:rPr>
        <w:t>§ 14 ust. 1 i ust. 2.</w:t>
      </w:r>
    </w:p>
    <w:p w14:paraId="7033B0D6" w14:textId="77777777" w:rsidR="00F3695E" w:rsidRPr="000E74D6" w:rsidRDefault="00000000" w:rsidP="002248DE">
      <w:pPr>
        <w:pStyle w:val="Akapitzlist"/>
        <w:spacing w:before="120" w:line="276" w:lineRule="auto"/>
        <w:ind w:left="0"/>
        <w:jc w:val="both"/>
        <w:rPr>
          <w:rFonts w:cstheme="minorHAnsi"/>
          <w:sz w:val="24"/>
          <w:szCs w:val="24"/>
          <w:lang w:eastAsia="ja-JP"/>
        </w:rPr>
      </w:pPr>
      <w:r w:rsidRPr="000E74D6">
        <w:rPr>
          <w:rFonts w:cstheme="minorHAnsi"/>
          <w:sz w:val="24"/>
          <w:szCs w:val="24"/>
          <w:lang w:eastAsia="ja-JP"/>
        </w:rPr>
        <w:t>4. Decyzję o całkowitym lub częściowym zwolnieniu z odpłatności wydaje się na czas określony, nie dłuższy niż do końca danego roku budżetowego.</w:t>
      </w:r>
    </w:p>
    <w:p w14:paraId="24B0F56B" w14:textId="33C3CC09" w:rsidR="002248DE" w:rsidRDefault="00000000" w:rsidP="002248DE">
      <w:pPr>
        <w:spacing w:before="12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E74D6">
        <w:rPr>
          <w:rFonts w:cstheme="minorHAnsi"/>
          <w:b/>
          <w:bCs/>
          <w:sz w:val="24"/>
          <w:szCs w:val="24"/>
        </w:rPr>
        <w:t>§ 15.</w:t>
      </w:r>
    </w:p>
    <w:p w14:paraId="0A13F5F6" w14:textId="30075768" w:rsidR="00F3695E" w:rsidRPr="000E74D6" w:rsidRDefault="00000000" w:rsidP="002248DE">
      <w:pPr>
        <w:spacing w:before="120" w:line="276" w:lineRule="auto"/>
        <w:jc w:val="both"/>
        <w:rPr>
          <w:rFonts w:cstheme="minorHAnsi"/>
          <w:sz w:val="24"/>
          <w:szCs w:val="24"/>
        </w:rPr>
      </w:pPr>
      <w:r w:rsidRPr="000E74D6">
        <w:rPr>
          <w:rFonts w:cstheme="minorHAnsi"/>
          <w:sz w:val="24"/>
          <w:szCs w:val="24"/>
        </w:rPr>
        <w:t>Traci moc uchwała Nr 190/XXVII/16 Rady Miejskiej w Chorzelach z dnia 30 listopada 2016 r.  w sprawie określenia szczegółowych warunków przyznawania i odpłatności za usługi opiekuńcze i specjalistyczne usługi opiekuńcze z wyłączeniem specjalistycznych usług opiekuńczych dla osób z zaburzeniami psychicznymi oraz szczególnych warunków częściowego lub całkowitego zwolnienia od odpłat i tryb ich pobierania.</w:t>
      </w:r>
    </w:p>
    <w:p w14:paraId="6D9EFF52" w14:textId="07B5DE29" w:rsidR="002248DE" w:rsidRDefault="00000000" w:rsidP="002248DE">
      <w:pPr>
        <w:spacing w:before="12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E74D6">
        <w:rPr>
          <w:rFonts w:cstheme="minorHAnsi"/>
          <w:b/>
          <w:bCs/>
          <w:sz w:val="24"/>
          <w:szCs w:val="24"/>
        </w:rPr>
        <w:t>§ 16.</w:t>
      </w:r>
    </w:p>
    <w:p w14:paraId="3ACF875B" w14:textId="797737A7" w:rsidR="00F3695E" w:rsidRPr="000E74D6" w:rsidRDefault="00000000" w:rsidP="002248DE">
      <w:pPr>
        <w:spacing w:before="120" w:line="276" w:lineRule="auto"/>
        <w:jc w:val="both"/>
        <w:rPr>
          <w:rFonts w:cstheme="minorHAnsi"/>
          <w:sz w:val="24"/>
          <w:szCs w:val="24"/>
        </w:rPr>
      </w:pPr>
      <w:r w:rsidRPr="000E74D6">
        <w:rPr>
          <w:rFonts w:cstheme="minorHAnsi"/>
          <w:sz w:val="24"/>
          <w:szCs w:val="24"/>
        </w:rPr>
        <w:t>Wykonanie uchwały powierza się Burmistrzowi Miasta i Gminy Chorzele.</w:t>
      </w:r>
    </w:p>
    <w:p w14:paraId="30B21FD3" w14:textId="3C7BAE4E" w:rsidR="002248DE" w:rsidRDefault="00000000" w:rsidP="002248DE">
      <w:pPr>
        <w:spacing w:before="12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E74D6">
        <w:rPr>
          <w:rFonts w:cstheme="minorHAnsi"/>
          <w:b/>
          <w:bCs/>
          <w:sz w:val="24"/>
          <w:szCs w:val="24"/>
        </w:rPr>
        <w:t>§ 17.</w:t>
      </w:r>
    </w:p>
    <w:p w14:paraId="46886F3F" w14:textId="671877A0" w:rsidR="00F3695E" w:rsidRPr="000E74D6" w:rsidRDefault="00000000" w:rsidP="002248DE">
      <w:pPr>
        <w:spacing w:before="120" w:line="276" w:lineRule="auto"/>
        <w:jc w:val="both"/>
        <w:rPr>
          <w:rFonts w:cstheme="minorHAnsi"/>
          <w:sz w:val="24"/>
          <w:szCs w:val="24"/>
        </w:rPr>
      </w:pPr>
      <w:r w:rsidRPr="000E74D6">
        <w:rPr>
          <w:rFonts w:cstheme="minorHAnsi"/>
          <w:sz w:val="24"/>
          <w:szCs w:val="24"/>
        </w:rPr>
        <w:t xml:space="preserve">Uchwała wchodzi w życie z dniem 1 stycznia 2025 r., po uprzednim ogłoszeniu w Dzienniku Urzędowym Województwa Mazowieckiego. </w:t>
      </w:r>
    </w:p>
    <w:sectPr w:rsidR="00F3695E" w:rsidRPr="000E74D6">
      <w:pgSz w:w="11906" w:h="16838"/>
      <w:pgMar w:top="851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C556E2"/>
    <w:multiLevelType w:val="multilevel"/>
    <w:tmpl w:val="C7C091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236284C"/>
    <w:multiLevelType w:val="multilevel"/>
    <w:tmpl w:val="295ABB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5211D6D"/>
    <w:multiLevelType w:val="multilevel"/>
    <w:tmpl w:val="2272F2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A43255E"/>
    <w:multiLevelType w:val="multilevel"/>
    <w:tmpl w:val="A61C2F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7C4A6BC6"/>
    <w:multiLevelType w:val="multilevel"/>
    <w:tmpl w:val="91FC0EC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02053699">
    <w:abstractNumId w:val="4"/>
  </w:num>
  <w:num w:numId="2" w16cid:durableId="255940082">
    <w:abstractNumId w:val="0"/>
  </w:num>
  <w:num w:numId="3" w16cid:durableId="728958923">
    <w:abstractNumId w:val="2"/>
  </w:num>
  <w:num w:numId="4" w16cid:durableId="1628853065">
    <w:abstractNumId w:val="3"/>
  </w:num>
  <w:num w:numId="5" w16cid:durableId="359206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5E"/>
    <w:rsid w:val="000E74D6"/>
    <w:rsid w:val="002248DE"/>
    <w:rsid w:val="005B6AA7"/>
    <w:rsid w:val="00627EAB"/>
    <w:rsid w:val="0078667F"/>
    <w:rsid w:val="0084190A"/>
    <w:rsid w:val="00BE2CC0"/>
    <w:rsid w:val="00F3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28061"/>
  <w15:docId w15:val="{ABCE81C4-F7FB-4F1C-8790-DA5066EC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69E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A7189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69E6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4</Pages>
  <Words>1026</Words>
  <Characters>6157</Characters>
  <Application>Microsoft Office Word</Application>
  <DocSecurity>0</DocSecurity>
  <Lines>51</Lines>
  <Paragraphs>14</Paragraphs>
  <ScaleCrop>false</ScaleCrop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w.piorkowska</dc:creator>
  <dc:description/>
  <cp:lastModifiedBy>Justyna Smolińska</cp:lastModifiedBy>
  <cp:revision>68</cp:revision>
  <cp:lastPrinted>2024-11-06T11:10:00Z</cp:lastPrinted>
  <dcterms:created xsi:type="dcterms:W3CDTF">2024-09-17T06:03:00Z</dcterms:created>
  <dcterms:modified xsi:type="dcterms:W3CDTF">2024-11-25T13:06:00Z</dcterms:modified>
  <dc:language>pl-PL</dc:language>
</cp:coreProperties>
</file>